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A02" w14:textId="77777777" w:rsidR="004F26F0" w:rsidRDefault="004F26F0" w:rsidP="004F26F0">
      <w:pPr>
        <w:rPr>
          <w:rFonts w:ascii="Times" w:hAnsi="Times"/>
        </w:rPr>
      </w:pPr>
    </w:p>
    <w:tbl>
      <w:tblPr>
        <w:tblW w:w="101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147"/>
      </w:tblGrid>
      <w:tr w:rsidR="00142ADA" w:rsidRPr="007326BA" w14:paraId="74115CBB" w14:textId="77777777" w:rsidTr="001A35E9"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7E5" w14:textId="4D4BE40B" w:rsidR="00142ADA" w:rsidRPr="007326BA" w:rsidRDefault="00F80626" w:rsidP="006740A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OSE APPLICABLE </w:t>
            </w:r>
            <w:r w:rsidR="006740AA">
              <w:rPr>
                <w:b/>
                <w:sz w:val="24"/>
                <w:szCs w:val="24"/>
              </w:rPr>
              <w:t>CODES AND STANDARDS</w:t>
            </w:r>
          </w:p>
        </w:tc>
      </w:tr>
      <w:tr w:rsidR="006740AA" w:rsidRPr="007326BA" w14:paraId="75B47AD8" w14:textId="77777777" w:rsidTr="00B06E09">
        <w:trPr>
          <w:trHeight w:val="5010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11D5D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Building Code</w:t>
            </w:r>
            <w:r w:rsidRPr="00A63287">
              <w:t xml:space="preserve"> (IBC), </w:t>
            </w:r>
            <w:r>
              <w:t>2021 Edition with SCBC modifications</w:t>
            </w:r>
          </w:p>
          <w:p w14:paraId="017055B3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Existing Building Code</w:t>
            </w:r>
            <w:r w:rsidRPr="00A63287">
              <w:t xml:space="preserve"> (IEBC), 20</w:t>
            </w:r>
            <w:r>
              <w:t>21</w:t>
            </w:r>
            <w:r w:rsidRPr="00A63287">
              <w:t xml:space="preserve"> Edition</w:t>
            </w:r>
          </w:p>
          <w:p w14:paraId="4D94707E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Fire Code</w:t>
            </w:r>
            <w:r w:rsidRPr="00A63287">
              <w:t xml:space="preserve"> (IFC), 20</w:t>
            </w:r>
            <w:r>
              <w:t>21</w:t>
            </w:r>
            <w:r w:rsidRPr="00A63287">
              <w:t xml:space="preserve"> Edition</w:t>
            </w:r>
            <w:r>
              <w:t xml:space="preserve"> with SCBC modifications</w:t>
            </w:r>
          </w:p>
          <w:p w14:paraId="52AC8204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Energy Conservation Code</w:t>
            </w:r>
            <w:r w:rsidRPr="00A63287">
              <w:t xml:space="preserve"> (IECC), 2009 Edition</w:t>
            </w:r>
          </w:p>
          <w:p w14:paraId="3F04BC81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Fuel Gas Code</w:t>
            </w:r>
            <w:r w:rsidRPr="00A63287">
              <w:t xml:space="preserve"> (IFGC), 20</w:t>
            </w:r>
            <w:r>
              <w:t>21</w:t>
            </w:r>
            <w:r w:rsidRPr="00A63287">
              <w:t xml:space="preserve"> Edition</w:t>
            </w:r>
            <w:r>
              <w:t xml:space="preserve"> </w:t>
            </w:r>
            <w:bookmarkStart w:id="0" w:name="_Hlk115182967"/>
            <w:r>
              <w:t>with SCBC modifications</w:t>
            </w:r>
            <w:bookmarkEnd w:id="0"/>
          </w:p>
          <w:p w14:paraId="33C06DAA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1440" w:right="-58"/>
              <w:contextualSpacing w:val="0"/>
              <w:jc w:val="both"/>
            </w:pPr>
            <w:r w:rsidRPr="00A63287">
              <w:rPr>
                <w:u w:val="single" w:color="000000"/>
              </w:rPr>
              <w:t>International Mechanical Code</w:t>
            </w:r>
            <w:r w:rsidRPr="00A63287">
              <w:t xml:space="preserve"> (IMC), 20</w:t>
            </w:r>
            <w:r>
              <w:t>21</w:t>
            </w:r>
            <w:r w:rsidRPr="00A63287">
              <w:t xml:space="preserve"> Edition</w:t>
            </w:r>
            <w:r>
              <w:t xml:space="preserve"> with SCBC modifications</w:t>
            </w:r>
          </w:p>
          <w:p w14:paraId="783BF390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Plumbing Code</w:t>
            </w:r>
            <w:r w:rsidRPr="00A63287">
              <w:t xml:space="preserve"> (IPC), 20</w:t>
            </w:r>
            <w:r>
              <w:t>21</w:t>
            </w:r>
            <w:r w:rsidRPr="00A63287">
              <w:t xml:space="preserve"> Edition</w:t>
            </w:r>
            <w:r>
              <w:t xml:space="preserve"> with SCBC modifications</w:t>
            </w:r>
            <w:r w:rsidRPr="00A63287">
              <w:t xml:space="preserve">, </w:t>
            </w:r>
            <w:r>
              <w:t>and</w:t>
            </w:r>
            <w:r w:rsidRPr="00A63287">
              <w:t xml:space="preserve"> the following insertions:</w:t>
            </w:r>
          </w:p>
          <w:p w14:paraId="2EFBCF3A" w14:textId="77777777" w:rsidR="006740AA" w:rsidRPr="00A63287" w:rsidRDefault="006740AA" w:rsidP="006740AA">
            <w:pPr>
              <w:pStyle w:val="ListParagraph"/>
              <w:widowControl w:val="0"/>
              <w:numPr>
                <w:ilvl w:val="2"/>
                <w:numId w:val="9"/>
              </w:numPr>
              <w:spacing w:before="60" w:after="60"/>
              <w:ind w:left="1800" w:right="-58" w:hanging="360"/>
              <w:contextualSpacing w:val="0"/>
              <w:jc w:val="both"/>
            </w:pPr>
            <w:r w:rsidRPr="00A63287">
              <w:t>Section 305.4.1, insert “18” and insert “18”</w:t>
            </w:r>
          </w:p>
          <w:p w14:paraId="0D49BDEA" w14:textId="77777777" w:rsidR="006740AA" w:rsidRPr="00A63287" w:rsidRDefault="006740AA" w:rsidP="006740AA">
            <w:pPr>
              <w:pStyle w:val="ListParagraph"/>
              <w:widowControl w:val="0"/>
              <w:numPr>
                <w:ilvl w:val="2"/>
                <w:numId w:val="9"/>
              </w:numPr>
              <w:spacing w:before="60" w:after="60"/>
              <w:ind w:left="1800" w:right="-58" w:hanging="360"/>
              <w:contextualSpacing w:val="0"/>
              <w:jc w:val="both"/>
            </w:pPr>
            <w:r w:rsidRPr="00A63287">
              <w:t>Section 903.1, insert “8”</w:t>
            </w:r>
          </w:p>
          <w:p w14:paraId="61076551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Private Sewage Disposal Code</w:t>
            </w:r>
            <w:r w:rsidRPr="00A63287">
              <w:t xml:space="preserve"> (IPSDC), 20</w:t>
            </w:r>
            <w:r>
              <w:t>21</w:t>
            </w:r>
            <w:r w:rsidRPr="00A63287">
              <w:t xml:space="preserve"> Edition</w:t>
            </w:r>
          </w:p>
          <w:p w14:paraId="73C6ADD0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Property Maintenance Code</w:t>
            </w:r>
            <w:r w:rsidRPr="00A63287">
              <w:t xml:space="preserve"> (IPMC), 20</w:t>
            </w:r>
            <w:r>
              <w:t>21</w:t>
            </w:r>
            <w:r w:rsidRPr="00A63287">
              <w:t xml:space="preserve"> Edition</w:t>
            </w:r>
          </w:p>
          <w:p w14:paraId="2806F927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Residential Code for One- and Two-Family Dwellings</w:t>
            </w:r>
            <w:r w:rsidRPr="00A63287">
              <w:t xml:space="preserve"> (IRC), 20</w:t>
            </w:r>
            <w:r>
              <w:t>21</w:t>
            </w:r>
            <w:r w:rsidRPr="00A63287">
              <w:t xml:space="preserve"> Edition</w:t>
            </w:r>
            <w:r>
              <w:t xml:space="preserve"> with SCBC modifications</w:t>
            </w:r>
            <w:r w:rsidRPr="00A63287">
              <w:t xml:space="preserve">, </w:t>
            </w:r>
            <w:r>
              <w:t>and</w:t>
            </w:r>
            <w:r w:rsidRPr="00A63287">
              <w:t xml:space="preserve"> the following insertions:</w:t>
            </w:r>
          </w:p>
          <w:p w14:paraId="2E9118EC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11"/>
              </w:numPr>
              <w:spacing w:before="60" w:after="60"/>
              <w:ind w:left="1800" w:right="-58"/>
              <w:contextualSpacing w:val="0"/>
              <w:jc w:val="both"/>
            </w:pPr>
            <w:r w:rsidRPr="00A63287">
              <w:t>P2603.5.1, insert “12” and insert “24”</w:t>
            </w:r>
          </w:p>
          <w:p w14:paraId="0F75E1B7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Wildland – Urban Interface Code</w:t>
            </w:r>
            <w:r w:rsidRPr="00A63287">
              <w:t xml:space="preserve"> (I</w:t>
            </w:r>
            <w:r>
              <w:t>W</w:t>
            </w:r>
            <w:r w:rsidRPr="00A63287">
              <w:t>UIC), 20</w:t>
            </w:r>
            <w:r>
              <w:t>21</w:t>
            </w:r>
            <w:r w:rsidRPr="00A63287">
              <w:t xml:space="preserve"> Edition</w:t>
            </w:r>
          </w:p>
          <w:p w14:paraId="3860E400" w14:textId="77777777" w:rsidR="006740AA" w:rsidRPr="00A63287" w:rsidRDefault="006740AA" w:rsidP="006740AA">
            <w:pPr>
              <w:spacing w:before="60" w:after="60"/>
              <w:ind w:left="1440" w:right="-58"/>
              <w:jc w:val="both"/>
            </w:pPr>
            <w:r w:rsidRPr="00A63287">
              <w:rPr>
                <w:b/>
              </w:rPr>
              <w:t>Note:</w:t>
            </w:r>
            <w:r w:rsidRPr="00A63287">
              <w:t xml:space="preserve"> The I</w:t>
            </w:r>
            <w:r>
              <w:t>W</w:t>
            </w:r>
            <w:r w:rsidRPr="00A63287">
              <w:t>UIC does not supersede existing statutory requirements.</w:t>
            </w:r>
          </w:p>
          <w:p w14:paraId="7817A884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Code Council Performance Code</w:t>
            </w:r>
            <w:r w:rsidRPr="00A63287">
              <w:t xml:space="preserve"> (ICCPC), 20</w:t>
            </w:r>
            <w:r>
              <w:t>21</w:t>
            </w:r>
            <w:r w:rsidRPr="00A63287">
              <w:t xml:space="preserve"> Edition, upon State Engineer’s approval</w:t>
            </w:r>
          </w:p>
          <w:p w14:paraId="3EA8CBF6" w14:textId="77777777" w:rsidR="006740AA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International Swimming Pool and Spa Code</w:t>
            </w:r>
            <w:r w:rsidRPr="00A63287">
              <w:t xml:space="preserve"> (ISPSC), 20</w:t>
            </w:r>
            <w:r>
              <w:t>21</w:t>
            </w:r>
            <w:r w:rsidRPr="00A63287">
              <w:t xml:space="preserve"> Edition</w:t>
            </w:r>
          </w:p>
          <w:p w14:paraId="08000BD1" w14:textId="651B60D8" w:rsidR="005F0EAB" w:rsidRPr="00A63287" w:rsidRDefault="005F0EAB" w:rsidP="005F0EAB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</w:tabs>
              <w:spacing w:after="200" w:line="276" w:lineRule="auto"/>
              <w:ind w:left="1440" w:hanging="360"/>
            </w:pPr>
            <w:r w:rsidRPr="001D0BBD">
              <w:rPr>
                <w:u w:val="single"/>
              </w:rPr>
              <w:t>Standard for Bleachers, Folding and Telescopic Seating, and Grandstands</w:t>
            </w:r>
            <w:r w:rsidRPr="001D0BBD">
              <w:t>, ICC 300-2017 Edition</w:t>
            </w:r>
          </w:p>
          <w:p w14:paraId="6CA56785" w14:textId="77777777" w:rsidR="006740AA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rPr>
                <w:u w:val="single" w:color="000000"/>
              </w:rPr>
              <w:t>National Electrical Code</w:t>
            </w:r>
            <w:r w:rsidRPr="00A63287">
              <w:t xml:space="preserve"> (NEC) [NFPA-70], 20</w:t>
            </w:r>
            <w:r>
              <w:t>20</w:t>
            </w:r>
            <w:r w:rsidRPr="00A63287">
              <w:t xml:space="preserve"> Edition</w:t>
            </w:r>
            <w:r>
              <w:t xml:space="preserve"> with SCBC modifications</w:t>
            </w:r>
          </w:p>
          <w:p w14:paraId="5D74AC48" w14:textId="28E1F112" w:rsidR="005F0EAB" w:rsidRPr="00A63287" w:rsidRDefault="005F0EAB" w:rsidP="005F0EAB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1D0BBD">
              <w:rPr>
                <w:u w:val="single"/>
              </w:rPr>
              <w:t>National Electrical Safety Code</w:t>
            </w:r>
            <w:r w:rsidRPr="001D0BBD">
              <w:t xml:space="preserve"> (NESC), IEEE-C2-2017 Edition</w:t>
            </w:r>
          </w:p>
          <w:p w14:paraId="20813A47" w14:textId="0BAAA1F8" w:rsidR="006740AA" w:rsidRPr="00A63287" w:rsidRDefault="005F0EAB" w:rsidP="006740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  <w:tab w:val="left" w:pos="1800"/>
              </w:tabs>
              <w:spacing w:before="60" w:after="60"/>
              <w:ind w:left="1440" w:right="-58" w:hanging="360"/>
              <w:contextualSpacing w:val="0"/>
              <w:jc w:val="both"/>
              <w:rPr>
                <w:i/>
              </w:rPr>
            </w:pPr>
            <w:r w:rsidRPr="00A63287">
              <w:rPr>
                <w:u w:val="single" w:color="000000"/>
              </w:rPr>
              <w:t>Accessible and</w:t>
            </w:r>
            <w:r w:rsidRPr="00A63287">
              <w:t xml:space="preserve"> </w:t>
            </w:r>
            <w:r w:rsidRPr="00A63287">
              <w:rPr>
                <w:u w:val="single" w:color="000000"/>
              </w:rPr>
              <w:t>Useable Buildings and Facilities</w:t>
            </w:r>
            <w:r>
              <w:t xml:space="preserve">, </w:t>
            </w:r>
            <w:r w:rsidR="006740AA">
              <w:t>ICC</w:t>
            </w:r>
            <w:r w:rsidR="006740AA" w:rsidRPr="00A63287">
              <w:t xml:space="preserve"> A117.1</w:t>
            </w:r>
            <w:r>
              <w:t xml:space="preserve"> (latest edition)</w:t>
            </w:r>
            <w:r w:rsidR="006740AA" w:rsidRPr="00A63287">
              <w:t>.  Note</w:t>
            </w:r>
            <w:r>
              <w:t>,</w:t>
            </w:r>
            <w:r w:rsidR="006740AA" w:rsidRPr="00A63287">
              <w:t xml:space="preserve"> this is the standard adopted by the South Carolina Accessibility Act</w:t>
            </w:r>
            <w:r w:rsidR="006740AA">
              <w:t>,</w:t>
            </w:r>
            <w:r w:rsidR="006740AA" w:rsidRPr="00A63287">
              <w:t xml:space="preserve"> but this requirement does not relieve the Agency or the design professional from the Federal Statutory requirements that design, and construction comply with the </w:t>
            </w:r>
            <w:r w:rsidR="006740AA" w:rsidRPr="00A63287">
              <w:rPr>
                <w:u w:val="single" w:color="000000"/>
              </w:rPr>
              <w:t>Americans with Disabilities Act Accessibility</w:t>
            </w:r>
            <w:r w:rsidR="006740AA" w:rsidRPr="00A63287">
              <w:rPr>
                <w:u w:val="single"/>
              </w:rPr>
              <w:t xml:space="preserve"> </w:t>
            </w:r>
            <w:r w:rsidR="006740AA" w:rsidRPr="00A63287">
              <w:rPr>
                <w:u w:val="single" w:color="000000"/>
              </w:rPr>
              <w:t>Guidelines for Buildings and Facilities.</w:t>
            </w:r>
            <w:r w:rsidR="006740AA" w:rsidRPr="00A63287">
              <w:t xml:space="preserve">  See </w:t>
            </w:r>
            <w:hyperlink r:id="rId7" w:history="1">
              <w:r w:rsidR="006740AA" w:rsidRPr="00A63287">
                <w:rPr>
                  <w:rStyle w:val="Hyperlink"/>
                </w:rPr>
                <w:t>http://www.access-board.gov/guidelines-and-standards/buildings-and-sites/about-the-ada-standards/ada-standards</w:t>
              </w:r>
            </w:hyperlink>
            <w:r w:rsidR="006740AA" w:rsidRPr="00A63287">
              <w:rPr>
                <w:rStyle w:val="Hyperlink"/>
              </w:rPr>
              <w:t>.</w:t>
            </w:r>
            <w:r w:rsidR="006740AA" w:rsidRPr="00A63287">
              <w:rPr>
                <w:i/>
              </w:rPr>
              <w:t xml:space="preserve"> </w:t>
            </w:r>
          </w:p>
          <w:p w14:paraId="18A56B12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  <w:tab w:val="num" w:pos="1800"/>
              </w:tabs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t>State Fire Marshal rules, regulations, and policies.  See</w:t>
            </w:r>
            <w:r w:rsidRPr="00A63287">
              <w:rPr>
                <w:i/>
              </w:rPr>
              <w:t xml:space="preserve"> </w:t>
            </w:r>
            <w:hyperlink r:id="rId8" w:history="1">
              <w:r w:rsidRPr="00EC5BA3">
                <w:rPr>
                  <w:rStyle w:val="Hyperlink"/>
                </w:rPr>
                <w:t>http://statefire.llr.sc.gov/osfm/index.aspx</w:t>
              </w:r>
            </w:hyperlink>
            <w:r w:rsidRPr="00A63287">
              <w:rPr>
                <w:rStyle w:val="Hyperlink"/>
                <w:u w:color="0000FF"/>
              </w:rPr>
              <w:t>.</w:t>
            </w:r>
          </w:p>
          <w:p w14:paraId="1D094AA3" w14:textId="0D7D0893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  <w:tab w:val="num" w:pos="1710"/>
              </w:tabs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t>South Carolina Elevator, Code, &amp; Regulations.  The SC Elevator Code references the American Society of Mechanical Engineers Safety Code for Elevators, Dumbwaiters, Escalators, and Moving Walks, and supplements thereto, ASME A17.1</w:t>
            </w:r>
            <w:r>
              <w:t>-2019</w:t>
            </w:r>
            <w:r w:rsidRPr="00A63287">
              <w:t>.  See</w:t>
            </w:r>
            <w:r w:rsidRPr="00A63287">
              <w:rPr>
                <w:i/>
              </w:rPr>
              <w:t xml:space="preserve"> </w:t>
            </w:r>
            <w:hyperlink r:id="rId9" w:history="1">
              <w:r w:rsidRPr="00A63287">
                <w:rPr>
                  <w:rStyle w:val="Hyperlink"/>
                  <w:u w:color="0000FF"/>
                </w:rPr>
                <w:t>http://www.llr.sc.gov/elevators/</w:t>
              </w:r>
            </w:hyperlink>
            <w:r w:rsidRPr="00A63287">
              <w:rPr>
                <w:color w:val="0000FF"/>
              </w:rPr>
              <w:t xml:space="preserve"> .</w:t>
            </w:r>
          </w:p>
          <w:p w14:paraId="0881126E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  <w:tab w:val="num" w:pos="1800"/>
              </w:tabs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t xml:space="preserve">State of SC Telephone Equipment Room and Communications/Data Systems Policies as formulated by the </w:t>
            </w:r>
            <w:r>
              <w:t xml:space="preserve">Office of Technology and </w:t>
            </w:r>
            <w:r w:rsidRPr="00A63287">
              <w:t xml:space="preserve">Information </w:t>
            </w:r>
            <w:r>
              <w:t>Services</w:t>
            </w:r>
            <w:r w:rsidRPr="00A63287">
              <w:t xml:space="preserve"> (</w:t>
            </w:r>
            <w:r>
              <w:t>OTIS</w:t>
            </w:r>
            <w:r w:rsidRPr="00A63287">
              <w:t>).</w:t>
            </w:r>
          </w:p>
          <w:p w14:paraId="5AACB6D0" w14:textId="77777777" w:rsidR="006740AA" w:rsidRPr="00A63287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t>State of SC Building Standards in Floodplain Areas.</w:t>
            </w:r>
          </w:p>
          <w:p w14:paraId="256D85D8" w14:textId="257CAB42" w:rsidR="006740AA" w:rsidRPr="007326BA" w:rsidRDefault="006740AA" w:rsidP="006740AA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clear" w:pos="2970"/>
                <w:tab w:val="num" w:pos="1800"/>
              </w:tabs>
              <w:spacing w:before="60" w:after="60"/>
              <w:ind w:left="1440" w:right="-58" w:hanging="360"/>
              <w:contextualSpacing w:val="0"/>
              <w:jc w:val="both"/>
            </w:pPr>
            <w:r w:rsidRPr="00A63287">
              <w:t>The South Carolina Modular Buildings Construction Act.</w:t>
            </w:r>
          </w:p>
        </w:tc>
      </w:tr>
    </w:tbl>
    <w:p w14:paraId="047F9626" w14:textId="02B28983" w:rsidR="00142ADA" w:rsidRPr="007326BA" w:rsidRDefault="00142ADA" w:rsidP="006740AA">
      <w:pPr>
        <w:spacing w:before="120"/>
        <w:ind w:left="180"/>
      </w:pPr>
    </w:p>
    <w:sectPr w:rsidR="00142ADA" w:rsidRPr="007326BA" w:rsidSect="001A35E9">
      <w:headerReference w:type="default" r:id="rId10"/>
      <w:footerReference w:type="even" r:id="rId11"/>
      <w:footerReference w:type="default" r:id="rId12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9873" w14:textId="77777777" w:rsidR="00A42E2F" w:rsidRDefault="00A42E2F">
      <w:r>
        <w:separator/>
      </w:r>
    </w:p>
  </w:endnote>
  <w:endnote w:type="continuationSeparator" w:id="0">
    <w:p w14:paraId="0FAA3390" w14:textId="77777777" w:rsidR="00A42E2F" w:rsidRDefault="00A4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2282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89C7B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F97C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173E" w14:textId="77777777" w:rsidR="00A42E2F" w:rsidRDefault="00A42E2F">
      <w:r>
        <w:separator/>
      </w:r>
    </w:p>
  </w:footnote>
  <w:footnote w:type="continuationSeparator" w:id="0">
    <w:p w14:paraId="3FB4729D" w14:textId="77777777" w:rsidR="00A42E2F" w:rsidRDefault="00A4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2B2" w14:textId="69992EEA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6C7266">
      <w:rPr>
        <w:b/>
        <w:sz w:val="16"/>
        <w:szCs w:val="16"/>
      </w:rPr>
      <w:t>2</w:t>
    </w:r>
    <w:r w:rsidR="00C16B2D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52F"/>
    <w:multiLevelType w:val="hybridMultilevel"/>
    <w:tmpl w:val="C40C7878"/>
    <w:lvl w:ilvl="0" w:tplc="07AEFD46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221"/>
    <w:multiLevelType w:val="hybridMultilevel"/>
    <w:tmpl w:val="CA62B340"/>
    <w:lvl w:ilvl="0" w:tplc="940AB7C4">
      <w:start w:val="1"/>
      <w:numFmt w:val="decimal"/>
      <w:lvlText w:val="%1."/>
      <w:lvlJc w:val="left"/>
      <w:pPr>
        <w:ind w:left="21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4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92279E5"/>
    <w:multiLevelType w:val="hybridMultilevel"/>
    <w:tmpl w:val="6B80758C"/>
    <w:lvl w:ilvl="0" w:tplc="4CAE0906">
      <w:start w:val="8"/>
      <w:numFmt w:val="decimal"/>
      <w:lvlText w:val="%1."/>
      <w:lvlJc w:val="left"/>
      <w:pPr>
        <w:ind w:left="12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40AB7C4">
      <w:start w:val="1"/>
      <w:numFmt w:val="decimal"/>
      <w:lvlText w:val="%3."/>
      <w:lvlJc w:val="left"/>
      <w:pPr>
        <w:ind w:left="2160" w:hanging="180"/>
      </w:pPr>
      <w:rPr>
        <w:rFonts w:hint="default"/>
        <w:b/>
        <w:i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0" w15:restartNumberingAfterBreak="0">
    <w:nsid w:val="79712D67"/>
    <w:multiLevelType w:val="multilevel"/>
    <w:tmpl w:val="8124CB20"/>
    <w:lvl w:ilvl="0">
      <w:start w:val="7"/>
      <w:numFmt w:val="upperLetter"/>
      <w:lvlText w:val="%1."/>
      <w:lvlJc w:val="left"/>
      <w:pPr>
        <w:tabs>
          <w:tab w:val="num" w:pos="2970"/>
        </w:tabs>
        <w:ind w:left="2970" w:hanging="72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2011057672">
    <w:abstractNumId w:val="6"/>
  </w:num>
  <w:num w:numId="2" w16cid:durableId="1060589726">
    <w:abstractNumId w:val="5"/>
  </w:num>
  <w:num w:numId="3" w16cid:durableId="1055004294">
    <w:abstractNumId w:val="9"/>
  </w:num>
  <w:num w:numId="4" w16cid:durableId="513614597">
    <w:abstractNumId w:val="3"/>
  </w:num>
  <w:num w:numId="5" w16cid:durableId="452594886">
    <w:abstractNumId w:val="0"/>
  </w:num>
  <w:num w:numId="6" w16cid:durableId="1121606216">
    <w:abstractNumId w:val="8"/>
  </w:num>
  <w:num w:numId="7" w16cid:durableId="181167279">
    <w:abstractNumId w:val="4"/>
  </w:num>
  <w:num w:numId="8" w16cid:durableId="1778401573">
    <w:abstractNumId w:val="10"/>
  </w:num>
  <w:num w:numId="9" w16cid:durableId="1519467668">
    <w:abstractNumId w:val="7"/>
  </w:num>
  <w:num w:numId="10" w16cid:durableId="1253781965">
    <w:abstractNumId w:val="1"/>
  </w:num>
  <w:num w:numId="11" w16cid:durableId="992369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87D88"/>
    <w:rsid w:val="00197252"/>
    <w:rsid w:val="001A35E9"/>
    <w:rsid w:val="001A37F0"/>
    <w:rsid w:val="001C7268"/>
    <w:rsid w:val="00200267"/>
    <w:rsid w:val="00210DC3"/>
    <w:rsid w:val="00215B0E"/>
    <w:rsid w:val="002302FC"/>
    <w:rsid w:val="00232715"/>
    <w:rsid w:val="00234ADA"/>
    <w:rsid w:val="002A0ACA"/>
    <w:rsid w:val="002B0307"/>
    <w:rsid w:val="002B0CE7"/>
    <w:rsid w:val="002B25AF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82C4D"/>
    <w:rsid w:val="004866C1"/>
    <w:rsid w:val="00490C2B"/>
    <w:rsid w:val="00491244"/>
    <w:rsid w:val="00491606"/>
    <w:rsid w:val="004B31C7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90EC9"/>
    <w:rsid w:val="005950F2"/>
    <w:rsid w:val="005A2C97"/>
    <w:rsid w:val="005B0B8C"/>
    <w:rsid w:val="005B2AE5"/>
    <w:rsid w:val="005C0133"/>
    <w:rsid w:val="005C2519"/>
    <w:rsid w:val="005E7F3E"/>
    <w:rsid w:val="005F0EAB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40AA"/>
    <w:rsid w:val="00676AE2"/>
    <w:rsid w:val="00687A95"/>
    <w:rsid w:val="00691252"/>
    <w:rsid w:val="006956A8"/>
    <w:rsid w:val="006A66F5"/>
    <w:rsid w:val="006C7266"/>
    <w:rsid w:val="006D186A"/>
    <w:rsid w:val="006E240E"/>
    <w:rsid w:val="0070061A"/>
    <w:rsid w:val="0070645F"/>
    <w:rsid w:val="00711699"/>
    <w:rsid w:val="00722301"/>
    <w:rsid w:val="007252D4"/>
    <w:rsid w:val="00726D04"/>
    <w:rsid w:val="007326BA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68AB"/>
    <w:rsid w:val="007E03A4"/>
    <w:rsid w:val="007E75BE"/>
    <w:rsid w:val="007F1AF4"/>
    <w:rsid w:val="00800615"/>
    <w:rsid w:val="00803D20"/>
    <w:rsid w:val="008078C8"/>
    <w:rsid w:val="008129AD"/>
    <w:rsid w:val="00820F56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D02D7"/>
    <w:rsid w:val="008D0C4C"/>
    <w:rsid w:val="008D38C0"/>
    <w:rsid w:val="008E1E34"/>
    <w:rsid w:val="00907151"/>
    <w:rsid w:val="00912768"/>
    <w:rsid w:val="00912EAE"/>
    <w:rsid w:val="0092558B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2E2F"/>
    <w:rsid w:val="00A43DB0"/>
    <w:rsid w:val="00A4576C"/>
    <w:rsid w:val="00A63C08"/>
    <w:rsid w:val="00A661BC"/>
    <w:rsid w:val="00A66D19"/>
    <w:rsid w:val="00A730EE"/>
    <w:rsid w:val="00A77073"/>
    <w:rsid w:val="00AA67E5"/>
    <w:rsid w:val="00AB2204"/>
    <w:rsid w:val="00AC335D"/>
    <w:rsid w:val="00AC33D0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16B2D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86C28"/>
    <w:rsid w:val="00D95E1C"/>
    <w:rsid w:val="00DA2561"/>
    <w:rsid w:val="00DA4619"/>
    <w:rsid w:val="00DA75D5"/>
    <w:rsid w:val="00DB172D"/>
    <w:rsid w:val="00DE5265"/>
    <w:rsid w:val="00DF299C"/>
    <w:rsid w:val="00E1030D"/>
    <w:rsid w:val="00E508A9"/>
    <w:rsid w:val="00E53223"/>
    <w:rsid w:val="00E5418F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1E7A"/>
    <w:rsid w:val="00F131E9"/>
    <w:rsid w:val="00F43134"/>
    <w:rsid w:val="00F4328A"/>
    <w:rsid w:val="00F50296"/>
    <w:rsid w:val="00F74914"/>
    <w:rsid w:val="00F77451"/>
    <w:rsid w:val="00F80626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62CFE"/>
  <w15:docId w15:val="{C1C38AB1-1366-4254-A40D-71C122D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fire.llr.sc.gov/osfm/index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ess-board.gov/guidelines-and-standards/buildings-and-sites/about-the-ada-standards/ada-standard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lr.sc.gov/elevato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Gerald, Phil</cp:lastModifiedBy>
  <cp:revision>5</cp:revision>
  <cp:lastPrinted>2017-06-06T22:35:00Z</cp:lastPrinted>
  <dcterms:created xsi:type="dcterms:W3CDTF">2023-09-25T19:06:00Z</dcterms:created>
  <dcterms:modified xsi:type="dcterms:W3CDTF">2024-05-15T13:38:00Z</dcterms:modified>
</cp:coreProperties>
</file>