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bookmarkStart w:id="1" w:name="_GoBack"/>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bookmarkEnd w:id="1"/>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2"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2"/>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3"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3"/>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4" w:name="Check1"/>
      <w:r w:rsidR="00AD17F0" w:rsidRPr="00767DB5">
        <w:rPr>
          <w:b/>
          <w:color w:val="000000"/>
          <w:sz w:val="20"/>
          <w:szCs w:val="20"/>
        </w:rPr>
        <w:fldChar w:fldCharType="begin">
          <w:ffData>
            <w:name w:val="Check2"/>
            <w:enabled/>
            <w:calcOnExit w:val="0"/>
            <w:checkBox>
              <w:sizeAuto/>
              <w:default w:val="0"/>
            </w:checkBox>
          </w:ffData>
        </w:fldChar>
      </w:r>
      <w:bookmarkStart w:id="5" w:name="Check2"/>
      <w:r w:rsidR="00AD17F0"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00AD17F0" w:rsidRPr="00767DB5">
        <w:rPr>
          <w:b/>
          <w:color w:val="000000"/>
          <w:sz w:val="20"/>
          <w:szCs w:val="20"/>
        </w:rPr>
        <w:fldChar w:fldCharType="end"/>
      </w:r>
      <w:bookmarkEnd w:id="4"/>
      <w:bookmarkEnd w:id="5"/>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6" w:name="Check3"/>
      <w:r w:rsidR="00AD17F0"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7" w:name="Check4"/>
      <w:r w:rsidR="00AD17F0"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00AD17F0" w:rsidRPr="00767DB5">
        <w:rPr>
          <w:b/>
          <w:color w:val="000000"/>
          <w:sz w:val="20"/>
          <w:szCs w:val="20"/>
        </w:rPr>
        <w:fldChar w:fldCharType="end"/>
      </w:r>
      <w:bookmarkEnd w:id="7"/>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8" w:name="Text4"/>
      <w:r w:rsidR="002C0845" w:rsidRPr="00767DB5">
        <w:rPr>
          <w:bCs/>
          <w:color w:val="000000"/>
          <w:sz w:val="20"/>
          <w:szCs w:val="20"/>
          <w:u w:val="single"/>
        </w:rPr>
        <w:t xml:space="preserve">  </w:t>
      </w:r>
      <w:bookmarkEnd w:id="8"/>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9" w:name="Text73"/>
      <w:r w:rsidRPr="00767DB5">
        <w:rPr>
          <w:b/>
          <w:color w:val="000000"/>
          <w:u w:val="single"/>
        </w:rPr>
        <w:t>$</w:t>
      </w:r>
      <w:bookmarkEnd w:id="9"/>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802FB4" w:rsidRPr="00767DB5" w:rsidRDefault="00802FB4" w:rsidP="00802FB4">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6.2</w:t>
      </w:r>
      <w:r w:rsidRPr="00767DB5">
        <w:rPr>
          <w:b/>
          <w:color w:val="000000"/>
          <w:sz w:val="22"/>
          <w:szCs w:val="22"/>
        </w:rPr>
        <w:tab/>
        <w:t xml:space="preserve">BID ALTERNATES </w:t>
      </w:r>
      <w:r w:rsidRPr="00767DB5">
        <w:rPr>
          <w:color w:val="000000"/>
          <w:sz w:val="22"/>
          <w:szCs w:val="22"/>
        </w:rPr>
        <w:t>as indicated in the Bidding Documents and generally described as follows:</w:t>
      </w:r>
    </w:p>
    <w:p w:rsidR="00802FB4" w:rsidRPr="00767DB5" w:rsidRDefault="00802FB4" w:rsidP="00802FB4">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0" w:name="Text5"/>
      <w:r w:rsidRPr="00767DB5">
        <w:rPr>
          <w:color w:val="000000"/>
          <w:sz w:val="20"/>
          <w:szCs w:val="20"/>
          <w:u w:val="single"/>
        </w:rPr>
        <w:t xml:space="preserve">  </w:t>
      </w:r>
      <w:r w:rsidRPr="00767DB5">
        <w:rPr>
          <w:color w:val="000000"/>
          <w:sz w:val="20"/>
          <w:szCs w:val="20"/>
          <w:u w:val="single"/>
        </w:rPr>
        <w:fldChar w:fldCharType="begin">
          <w:ffData>
            <w:name w:val="Text5"/>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0"/>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1" w:name="Check5"/>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bookmarkEnd w:id="11"/>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2" w:name="Check6"/>
      <w:r w:rsidRPr="00767DB5">
        <w:rPr>
          <w:color w:val="000000"/>
          <w:sz w:val="20"/>
          <w:szCs w:val="20"/>
        </w:rPr>
        <w:instrText xml:space="preserve"> FORMCHECKBOX </w:instrText>
      </w:r>
      <w:r w:rsidR="008255A0">
        <w:rPr>
          <w:color w:val="000000"/>
          <w:sz w:val="20"/>
          <w:szCs w:val="20"/>
        </w:rPr>
      </w:r>
      <w:r w:rsidR="008255A0">
        <w:rPr>
          <w:color w:val="000000"/>
          <w:sz w:val="20"/>
          <w:szCs w:val="20"/>
        </w:rPr>
        <w:fldChar w:fldCharType="separate"/>
      </w:r>
      <w:r w:rsidRPr="00767DB5">
        <w:rPr>
          <w:color w:val="000000"/>
          <w:sz w:val="20"/>
          <w:szCs w:val="20"/>
        </w:rPr>
        <w:fldChar w:fldCharType="end"/>
      </w:r>
      <w:bookmarkEnd w:id="12"/>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bookmarkStart w:id="13" w:name="Text72"/>
      <w:r w:rsidRPr="00767DB5">
        <w:rPr>
          <w:b/>
          <w:color w:val="000000"/>
          <w:sz w:val="20"/>
          <w:szCs w:val="20"/>
          <w:u w:val="single"/>
        </w:rPr>
        <w:t xml:space="preserve">  $</w:t>
      </w:r>
      <w:bookmarkEnd w:id="13"/>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 xml:space="preserve">(Bidder to </w:t>
      </w:r>
      <w:r>
        <w:rPr>
          <w:b/>
          <w:i/>
          <w:color w:val="000000"/>
          <w:sz w:val="18"/>
          <w:szCs w:val="18"/>
        </w:rPr>
        <w:t>m</w:t>
      </w:r>
      <w:r w:rsidRPr="00767DB5">
        <w:rPr>
          <w:b/>
          <w:i/>
          <w:color w:val="000000"/>
          <w:sz w:val="18"/>
          <w:szCs w:val="18"/>
        </w:rPr>
        <w:t>ark appropriate box to clearly indicate the price adjustment offered for each Alternate)</w:t>
      </w:r>
    </w:p>
    <w:p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2</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4" w:name="Text9"/>
      <w:r w:rsidRPr="00767DB5">
        <w:rPr>
          <w:color w:val="000000"/>
          <w:sz w:val="20"/>
          <w:szCs w:val="20"/>
          <w:u w:val="single"/>
        </w:rPr>
        <w:t xml:space="preserve">  </w:t>
      </w:r>
      <w:r w:rsidRPr="00767DB5">
        <w:rPr>
          <w:color w:val="000000"/>
          <w:sz w:val="20"/>
          <w:szCs w:val="20"/>
          <w:u w:val="single"/>
        </w:rPr>
        <w:fldChar w:fldCharType="begin">
          <w:ffData>
            <w:name w:val="Text9"/>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4"/>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8255A0">
        <w:rPr>
          <w:color w:val="000000"/>
          <w:sz w:val="20"/>
          <w:szCs w:val="20"/>
        </w:rPr>
      </w:r>
      <w:r w:rsidR="008255A0">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rsidR="00802FB4" w:rsidRPr="00767DB5" w:rsidRDefault="00802FB4" w:rsidP="00802FB4">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3</w:t>
      </w:r>
      <w:r w:rsidRPr="00767DB5">
        <w:rPr>
          <w:color w:val="000000"/>
          <w:sz w:val="20"/>
          <w:szCs w:val="20"/>
        </w:rPr>
        <w:t xml:space="preserve"> </w:t>
      </w:r>
      <w:r w:rsidRPr="00767DB5">
        <w:rPr>
          <w:i/>
          <w:color w:val="000000"/>
          <w:sz w:val="20"/>
          <w:szCs w:val="20"/>
        </w:rPr>
        <w:t>(</w:t>
      </w:r>
      <w:r w:rsidRPr="00767DB5">
        <w:rPr>
          <w:i/>
          <w:color w:val="000000"/>
          <w:sz w:val="18"/>
          <w:szCs w:val="18"/>
        </w:rPr>
        <w:t>Brief Description)</w:t>
      </w:r>
      <w:r w:rsidRPr="00767DB5">
        <w:rPr>
          <w:color w:val="000000"/>
          <w:sz w:val="20"/>
          <w:szCs w:val="20"/>
        </w:rPr>
        <w:t xml:space="preserve">: </w:t>
      </w:r>
      <w:bookmarkStart w:id="15" w:name="Text10"/>
      <w:r w:rsidRPr="00767DB5">
        <w:rPr>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bookmarkEnd w:id="15"/>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8255A0">
        <w:rPr>
          <w:b/>
          <w:color w:val="000000"/>
          <w:sz w:val="20"/>
          <w:szCs w:val="20"/>
        </w:rPr>
      </w:r>
      <w:r w:rsidR="008255A0">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8255A0">
        <w:rPr>
          <w:color w:val="000000"/>
          <w:sz w:val="20"/>
          <w:szCs w:val="20"/>
        </w:rPr>
      </w:r>
      <w:r w:rsidR="008255A0">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Pr="00767DB5">
        <w:rPr>
          <w:b/>
          <w:color w:val="000000"/>
          <w:sz w:val="20"/>
          <w:szCs w:val="20"/>
        </w:rPr>
        <w:t>:</w:t>
      </w:r>
      <w:r w:rsidRPr="00767DB5">
        <w:rPr>
          <w:b/>
          <w:color w:val="000000"/>
          <w:sz w:val="20"/>
          <w:szCs w:val="20"/>
          <w:u w:val="single"/>
        </w:rPr>
        <w:t xml:space="preserve">  $</w:t>
      </w:r>
      <w:r w:rsidRPr="00767DB5">
        <w:rPr>
          <w:b/>
          <w:color w:val="000000"/>
          <w:sz w:val="20"/>
          <w:szCs w:val="20"/>
          <w:u w:val="single"/>
        </w:rPr>
        <w:tab/>
      </w:r>
    </w:p>
    <w:p w:rsidR="00802FB4" w:rsidRPr="00767DB5" w:rsidRDefault="00802FB4" w:rsidP="00802FB4">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Pr="00767DB5">
        <w:rPr>
          <w:b/>
          <w:i/>
          <w:color w:val="000000"/>
          <w:sz w:val="18"/>
          <w:szCs w:val="18"/>
        </w:rPr>
        <w:t>ark appropriate box to clearly indicate the price adjustment offered for each Alternate)</w:t>
      </w:r>
    </w:p>
    <w:p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rsidR="00802FB4" w:rsidRPr="00767DB5" w:rsidRDefault="00802FB4" w:rsidP="00802FB4">
      <w:pPr>
        <w:widowControl w:val="0"/>
        <w:tabs>
          <w:tab w:val="right" w:pos="10260"/>
        </w:tabs>
        <w:autoSpaceDE w:val="0"/>
        <w:autoSpaceDN w:val="0"/>
        <w:adjustRightInd w:val="0"/>
        <w:spacing w:before="60" w:after="60"/>
        <w:ind w:left="540"/>
        <w:rPr>
          <w:b/>
          <w:bCs/>
          <w:color w:val="000000"/>
          <w:sz w:val="20"/>
          <w:szCs w:val="20"/>
        </w:rPr>
      </w:pPr>
    </w:p>
    <w:p w:rsidR="00802FB4" w:rsidRPr="00767DB5" w:rsidRDefault="00802FB4" w:rsidP="00802FB4">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t>UNIT PRICES</w:t>
      </w:r>
      <w:r w:rsidRPr="00767DB5">
        <w:rPr>
          <w:color w:val="000000"/>
          <w:sz w:val="22"/>
          <w:szCs w:val="22"/>
        </w:rPr>
        <w:t>:</w:t>
      </w:r>
    </w:p>
    <w:p w:rsidR="00802FB4" w:rsidRPr="00767DB5" w:rsidRDefault="00802FB4" w:rsidP="00802FB4">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Pr>
          <w:color w:val="000000"/>
          <w:sz w:val="20"/>
          <w:szCs w:val="20"/>
        </w:rPr>
        <w:t xml:space="preserve"> prior to including in the Contract</w:t>
      </w:r>
      <w:r w:rsidRPr="00767DB5">
        <w:rPr>
          <w:color w:val="000000"/>
          <w:sz w:val="20"/>
          <w:szCs w:val="20"/>
        </w:rPr>
        <w:t>.</w:t>
      </w:r>
    </w:p>
    <w:p w:rsidR="00802FB4" w:rsidRPr="00767DB5" w:rsidRDefault="00802FB4" w:rsidP="00802FB4">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802FB4" w:rsidRPr="00767DB5" w:rsidRDefault="00802FB4" w:rsidP="005C0DE3">
      <w:pPr>
        <w:widowControl w:val="0"/>
        <w:tabs>
          <w:tab w:val="center" w:pos="2880"/>
          <w:tab w:val="center" w:pos="630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Pr="00767DB5">
        <w:rPr>
          <w:b/>
          <w:color w:val="000000"/>
          <w:sz w:val="22"/>
          <w:szCs w:val="22"/>
        </w:rPr>
        <w:t>UNIT OF</w:t>
      </w:r>
    </w:p>
    <w:p w:rsidR="00802FB4" w:rsidRPr="00767DB5" w:rsidRDefault="00802FB4" w:rsidP="005C0DE3">
      <w:pPr>
        <w:widowControl w:val="0"/>
        <w:tabs>
          <w:tab w:val="left" w:pos="900"/>
          <w:tab w:val="left" w:pos="1080"/>
          <w:tab w:val="center" w:pos="2880"/>
          <w:tab w:val="left" w:pos="5580"/>
          <w:tab w:val="left" w:pos="5760"/>
          <w:tab w:val="left" w:pos="7020"/>
          <w:tab w:val="left" w:pos="7200"/>
          <w:tab w:val="center" w:pos="7920"/>
          <w:tab w:val="left" w:pos="8640"/>
          <w:tab w:val="left" w:pos="8820"/>
          <w:tab w:val="center" w:pos="954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Pr="00767DB5">
        <w:rPr>
          <w:b/>
          <w:color w:val="000000"/>
          <w:sz w:val="20"/>
          <w:szCs w:val="20"/>
        </w:rPr>
        <w:tab/>
      </w:r>
      <w:r>
        <w:rPr>
          <w:b/>
          <w:color w:val="000000"/>
          <w:sz w:val="20"/>
          <w:szCs w:val="20"/>
          <w:u w:val="single"/>
        </w:rPr>
        <w:t xml:space="preserve"> </w:t>
      </w:r>
      <w:r w:rsidRPr="00767DB5">
        <w:rPr>
          <w:b/>
          <w:color w:val="000000"/>
          <w:sz w:val="22"/>
          <w:szCs w:val="22"/>
          <w:u w:val="single"/>
        </w:rPr>
        <w:t>MEASURE</w:t>
      </w:r>
      <w:r w:rsidRPr="00767DB5">
        <w:rPr>
          <w:b/>
          <w:color w:val="000000"/>
          <w:sz w:val="22"/>
          <w:szCs w:val="22"/>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Pr="00767DB5">
        <w:rPr>
          <w:b/>
          <w:color w:val="000000"/>
          <w:sz w:val="20"/>
          <w:szCs w:val="20"/>
          <w:u w:val="single"/>
        </w:rPr>
        <w:tab/>
      </w:r>
    </w:p>
    <w:p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Pr="00767DB5">
        <w:rPr>
          <w:b/>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5C0DE3">
        <w:rPr>
          <w:b/>
          <w:color w:val="000000"/>
          <w:sz w:val="20"/>
          <w:szCs w:val="20"/>
        </w:rPr>
        <w:t xml:space="preserve"> </w:t>
      </w:r>
      <w:r w:rsidR="00C0390C" w:rsidRPr="00767DB5">
        <w:rPr>
          <w:b/>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2.</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3.</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4.</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rsidR="00802FB4" w:rsidRPr="005C0DE3"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bCs/>
          <w:color w:val="000000"/>
          <w:sz w:val="20"/>
          <w:szCs w:val="20"/>
        </w:rPr>
      </w:pPr>
      <w:r w:rsidRPr="005C0DE3">
        <w:rPr>
          <w:b/>
          <w:bCs/>
          <w:color w:val="000000"/>
          <w:sz w:val="20"/>
          <w:szCs w:val="20"/>
          <w:u w:val="single"/>
        </w:rPr>
        <w:t xml:space="preserve">  5.</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00C0390C" w:rsidRPr="005C0DE3">
        <w:rPr>
          <w:b/>
          <w:bCs/>
          <w:color w:val="000000"/>
          <w:sz w:val="20"/>
          <w:szCs w:val="20"/>
          <w:u w:val="single"/>
        </w:rPr>
        <w:t xml:space="preserve">   </w:t>
      </w:r>
      <w:r w:rsidR="00C0390C" w:rsidRPr="005C0DE3">
        <w:rPr>
          <w:b/>
          <w:bCs/>
          <w:color w:val="000000"/>
          <w:sz w:val="20"/>
          <w:szCs w:val="20"/>
          <w:u w:val="single"/>
        </w:rPr>
        <w:fldChar w:fldCharType="begin">
          <w:ffData>
            <w:name w:val="Text10"/>
            <w:enabled/>
            <w:calcOnExit w:val="0"/>
            <w:textInput/>
          </w:ffData>
        </w:fldChar>
      </w:r>
      <w:r w:rsidR="00C0390C" w:rsidRPr="005C0DE3">
        <w:rPr>
          <w:b/>
          <w:bCs/>
          <w:color w:val="000000"/>
          <w:sz w:val="20"/>
          <w:szCs w:val="20"/>
          <w:u w:val="single"/>
        </w:rPr>
        <w:instrText xml:space="preserve"> FORMTEXT </w:instrText>
      </w:r>
      <w:r w:rsidR="00C0390C" w:rsidRPr="005C0DE3">
        <w:rPr>
          <w:b/>
          <w:bCs/>
          <w:color w:val="000000"/>
          <w:sz w:val="20"/>
          <w:szCs w:val="20"/>
          <w:u w:val="single"/>
        </w:rPr>
      </w:r>
      <w:r w:rsidR="00C0390C" w:rsidRPr="005C0DE3">
        <w:rPr>
          <w:b/>
          <w:bCs/>
          <w:color w:val="000000"/>
          <w:sz w:val="20"/>
          <w:szCs w:val="20"/>
          <w:u w:val="single"/>
        </w:rPr>
        <w:fldChar w:fldCharType="separate"/>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noProof/>
          <w:color w:val="000000"/>
          <w:sz w:val="20"/>
          <w:szCs w:val="20"/>
          <w:u w:val="single"/>
        </w:rPr>
        <w:t> </w:t>
      </w:r>
      <w:r w:rsidR="00C0390C" w:rsidRPr="005C0DE3">
        <w:rPr>
          <w:b/>
          <w:bCs/>
          <w:color w:val="000000"/>
          <w:sz w:val="20"/>
          <w:szCs w:val="20"/>
          <w:u w:val="single"/>
        </w:rPr>
        <w:fldChar w:fldCharType="end"/>
      </w:r>
      <w:r w:rsidR="00C0390C"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tab/>
      </w:r>
    </w:p>
    <w:p w:rsidR="00802FB4" w:rsidRPr="00767DB5" w:rsidRDefault="00802FB4" w:rsidP="005C0DE3">
      <w:pPr>
        <w:widowControl w:val="0"/>
        <w:tabs>
          <w:tab w:val="left" w:pos="900"/>
          <w:tab w:val="left" w:pos="1080"/>
          <w:tab w:val="left" w:pos="5580"/>
          <w:tab w:val="left" w:pos="5760"/>
          <w:tab w:val="left" w:pos="7020"/>
          <w:tab w:val="left" w:pos="7200"/>
          <w:tab w:val="left" w:pos="8640"/>
          <w:tab w:val="left" w:pos="8820"/>
          <w:tab w:val="right" w:pos="10260"/>
        </w:tabs>
        <w:autoSpaceDE w:val="0"/>
        <w:autoSpaceDN w:val="0"/>
        <w:adjustRightInd w:val="0"/>
        <w:spacing w:before="240"/>
        <w:ind w:left="547"/>
        <w:outlineLvl w:val="0"/>
        <w:rPr>
          <w:b/>
          <w:color w:val="000000"/>
          <w:sz w:val="20"/>
          <w:szCs w:val="20"/>
        </w:rPr>
      </w:pPr>
      <w:r w:rsidRPr="005C0DE3">
        <w:rPr>
          <w:b/>
          <w:bCs/>
          <w:color w:val="000000"/>
          <w:sz w:val="20"/>
          <w:szCs w:val="20"/>
          <w:u w:val="single"/>
        </w:rPr>
        <w:t xml:space="preserve">  6.</w:t>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5C0DE3">
        <w:rPr>
          <w:b/>
          <w:bCs/>
          <w:color w:val="000000"/>
          <w:sz w:val="20"/>
          <w:szCs w:val="20"/>
          <w:u w:val="single"/>
        </w:rPr>
        <w:tab/>
      </w:r>
      <w:r w:rsidRPr="005C0DE3">
        <w:rPr>
          <w:b/>
          <w:bCs/>
          <w:color w:val="000000"/>
          <w:sz w:val="20"/>
          <w:szCs w:val="20"/>
        </w:rPr>
        <w:tab/>
      </w:r>
      <w:r w:rsidRPr="005C0DE3">
        <w:rPr>
          <w:b/>
          <w:bCs/>
          <w:color w:val="000000"/>
          <w:sz w:val="20"/>
          <w:szCs w:val="20"/>
          <w:u w:val="single"/>
        </w:rPr>
        <w:t xml:space="preserve">   </w:t>
      </w:r>
      <w:r w:rsidRPr="005C0DE3">
        <w:rPr>
          <w:b/>
          <w:bCs/>
          <w:color w:val="000000"/>
          <w:sz w:val="20"/>
          <w:szCs w:val="20"/>
          <w:u w:val="single"/>
        </w:rPr>
        <w:fldChar w:fldCharType="begin">
          <w:ffData>
            <w:name w:val="Text10"/>
            <w:enabled/>
            <w:calcOnExit w:val="0"/>
            <w:textInput/>
          </w:ffData>
        </w:fldChar>
      </w:r>
      <w:r w:rsidRPr="005C0DE3">
        <w:rPr>
          <w:b/>
          <w:bCs/>
          <w:color w:val="000000"/>
          <w:sz w:val="20"/>
          <w:szCs w:val="20"/>
          <w:u w:val="single"/>
        </w:rPr>
        <w:instrText xml:space="preserve"> FORMTEXT </w:instrText>
      </w:r>
      <w:r w:rsidRPr="005C0DE3">
        <w:rPr>
          <w:b/>
          <w:bCs/>
          <w:color w:val="000000"/>
          <w:sz w:val="20"/>
          <w:szCs w:val="20"/>
          <w:u w:val="single"/>
        </w:rPr>
      </w:r>
      <w:r w:rsidRPr="005C0DE3">
        <w:rPr>
          <w:b/>
          <w:bCs/>
          <w:color w:val="000000"/>
          <w:sz w:val="20"/>
          <w:szCs w:val="20"/>
          <w:u w:val="single"/>
        </w:rPr>
        <w:fldChar w:fldCharType="separate"/>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noProof/>
          <w:color w:val="000000"/>
          <w:sz w:val="20"/>
          <w:szCs w:val="20"/>
          <w:u w:val="single"/>
        </w:rPr>
        <w:t> </w:t>
      </w:r>
      <w:r w:rsidRPr="005C0DE3">
        <w:rPr>
          <w:b/>
          <w:bCs/>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802FB4" w:rsidRPr="00767DB5" w:rsidRDefault="00802FB4" w:rsidP="005C0DE3">
      <w:pPr>
        <w:widowControl w:val="0"/>
        <w:tabs>
          <w:tab w:val="right" w:pos="10260"/>
        </w:tabs>
        <w:autoSpaceDE w:val="0"/>
        <w:autoSpaceDN w:val="0"/>
        <w:adjustRightInd w:val="0"/>
        <w:spacing w:before="60" w:after="60"/>
        <w:ind w:left="540"/>
        <w:rPr>
          <w:b/>
          <w:bCs/>
          <w:color w:val="000000"/>
          <w:sz w:val="20"/>
          <w:szCs w:val="20"/>
        </w:rPr>
      </w:pP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11"/>
          <w:footerReference w:type="even" r:id="rId12"/>
          <w:footerReference w:type="default" r:id="rId13"/>
          <w:footerReference w:type="first" r:id="rId14"/>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5"/>
          <w:footerReference w:type="default" r:id="rId16"/>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 xml:space="preserve">Section 7 of the Bid Form sets forth an </w:t>
      </w:r>
      <w:r w:rsidR="00A5592A">
        <w:rPr>
          <w:sz w:val="20"/>
          <w:szCs w:val="20"/>
        </w:rPr>
        <w:t>Agency</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xml:space="preserve">:  The </w:t>
      </w:r>
      <w:r w:rsidR="00A5592A">
        <w:rPr>
          <w:sz w:val="20"/>
          <w:szCs w:val="20"/>
        </w:rPr>
        <w:t>Agency</w:t>
      </w:r>
      <w:r w:rsidRPr="00767DB5">
        <w:rPr>
          <w:sz w:val="20"/>
          <w:szCs w:val="20"/>
        </w:rPr>
        <w:t xml:space="preserve">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hyperlink r:id="rId17" w:history="1">
        <w:r w:rsidR="00D6277A">
          <w:rPr>
            <w:rStyle w:val="Hyperlink"/>
            <w:sz w:val="20"/>
            <w:szCs w:val="20"/>
          </w:rPr>
          <w:t>https://llr.sc.gov/clb/PDFFiles/CLBClassificationAbbreviations.pdf</w:t>
        </w:r>
      </w:hyperlink>
      <w:r w:rsidRPr="00767DB5">
        <w:rPr>
          <w:sz w:val="20"/>
          <w:szCs w:val="20"/>
        </w:rPr>
        <w:t xml:space="preserve">. If the </w:t>
      </w:r>
      <w:r w:rsidR="00A5592A">
        <w:rPr>
          <w:sz w:val="20"/>
          <w:szCs w:val="20"/>
        </w:rPr>
        <w:t>Agnecy</w:t>
      </w:r>
      <w:r w:rsidRPr="00767DB5">
        <w:rPr>
          <w:sz w:val="20"/>
          <w:szCs w:val="20"/>
        </w:rPr>
        <w:t xml:space="preserve">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w:t>
      </w:r>
      <w:r w:rsidR="00A5592A">
        <w:rPr>
          <w:sz w:val="20"/>
          <w:szCs w:val="20"/>
        </w:rPr>
        <w:t>Agency</w:t>
      </w:r>
      <w:r w:rsidR="003477CA">
        <w:rPr>
          <w:sz w:val="20"/>
          <w:szCs w:val="20"/>
        </w:rPr>
        <w:t xml:space="preserve">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w:t>
      </w:r>
      <w:r w:rsidR="00A5592A">
        <w:rPr>
          <w:sz w:val="20"/>
          <w:szCs w:val="20"/>
        </w:rPr>
        <w:t>Agency</w:t>
      </w:r>
      <w:r w:rsidRPr="00767DB5">
        <w:rPr>
          <w:sz w:val="20"/>
          <w:szCs w:val="20"/>
        </w:rPr>
        <w:t xml:space="preserve">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w:t>
      </w:r>
      <w:r w:rsidR="001A57A8">
        <w:rPr>
          <w:sz w:val="20"/>
          <w:szCs w:val="20"/>
        </w:rPr>
        <w:t xml:space="preserve">elf </w:t>
      </w:r>
      <w:r w:rsidRPr="00767DB5">
        <w:rPr>
          <w:sz w:val="20"/>
          <w:szCs w:val="20"/>
        </w:rPr>
        <w:t xml:space="preserve">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w:t>
      </w:r>
      <w:r w:rsidR="001A57A8">
        <w:rPr>
          <w:sz w:val="20"/>
          <w:szCs w:val="20"/>
        </w:rPr>
        <w:t xml:space="preserve">itself </w:t>
      </w:r>
      <w:r w:rsidRPr="00767DB5">
        <w:rPr>
          <w:sz w:val="20"/>
          <w:szCs w:val="20"/>
        </w:rPr>
        <w:t>and each subcontractor, preferably separating the</w:t>
      </w:r>
      <w:r w:rsidR="001A57A8">
        <w:rPr>
          <w:sz w:val="20"/>
          <w:szCs w:val="20"/>
        </w:rPr>
        <w:t>m</w:t>
      </w:r>
      <w:r w:rsidRPr="00767DB5">
        <w:rPr>
          <w:sz w:val="20"/>
          <w:szCs w:val="20"/>
        </w:rPr>
        <w:t xml:space="preserve">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8"/>
          <w:footerReference w:type="default" r:id="rId19"/>
          <w:headerReference w:type="first" r:id="rId20"/>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6"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6"/>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21"/>
          <w:footerReference w:type="default" r:id="rId22"/>
          <w:headerReference w:type="first" r:id="rId23"/>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4"/>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00C67CD2">
      <w:rPr>
        <w:rStyle w:val="PageNumber"/>
        <w:b/>
        <w:sz w:val="16"/>
        <w:szCs w:val="16"/>
      </w:rPr>
      <w:t>A</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20</w:t>
    </w:r>
    <w:r w:rsidRPr="00767DB5">
      <w:rPr>
        <w:b/>
        <w:sz w:val="16"/>
        <w:szCs w:val="16"/>
      </w:rPr>
      <w:t xml:space="preserve"> Edition</w:t>
    </w:r>
  </w:p>
  <w:p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C023B9">
      <w:rPr>
        <w:b/>
        <w:sz w:val="16"/>
        <w:szCs w:val="16"/>
      </w:rPr>
      <w:t>20</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20</w:t>
    </w:r>
    <w:r w:rsidRPr="00767DB5">
      <w:rPr>
        <w:b/>
        <w:sz w:val="16"/>
        <w:szCs w:val="16"/>
      </w:rPr>
      <w:t xml:space="preserve"> Edition</w:t>
    </w:r>
  </w:p>
  <w:p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wOCX0vibQzUYAvcj8Kg3+tcvBuzzTOzEALlL3oY2U6XSkfevoqsQMDdS1foaJQTuKFbLvjqh3DHNlfDuXQ1Q==" w:salt="h6Yt5/v59GEEk3OTH8ohow=="/>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B2A99"/>
    <w:rsid w:val="001B4226"/>
    <w:rsid w:val="001B7148"/>
    <w:rsid w:val="001C010E"/>
    <w:rsid w:val="001C24F9"/>
    <w:rsid w:val="001C639D"/>
    <w:rsid w:val="001D132D"/>
    <w:rsid w:val="001D269E"/>
    <w:rsid w:val="001D5924"/>
    <w:rsid w:val="001D6928"/>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255A0"/>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llr.sc.gov/clb/PDFFiles/CLBClassificationAbbreviatio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11</cp:revision>
  <cp:lastPrinted>2012-10-16T22:29:00Z</cp:lastPrinted>
  <dcterms:created xsi:type="dcterms:W3CDTF">2019-12-20T16:31:00Z</dcterms:created>
  <dcterms:modified xsi:type="dcterms:W3CDTF">2020-08-14T20:13:00Z</dcterms:modified>
</cp:coreProperties>
</file>