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16F38BCE" w:rsidR="00DE1FD7" w:rsidRDefault="00A81574" w:rsidP="00DE1FD7">
      <w:pPr>
        <w:pStyle w:val="NormalWeb"/>
        <w:jc w:val="center"/>
      </w:pPr>
      <w:r w:rsidRPr="00A81574">
        <w:rPr>
          <w:b/>
          <w:bCs/>
        </w:rPr>
        <w:t xml:space="preserve">STC-MANAGED SERVICES PROVIDER  </w:t>
      </w:r>
      <w:r w:rsidR="00DE1FD7">
        <w:rPr>
          <w:b/>
          <w:bCs/>
        </w:rPr>
        <w:br/>
        <w:t>RFP # 540002</w:t>
      </w:r>
      <w:r>
        <w:rPr>
          <w:b/>
          <w:bCs/>
        </w:rPr>
        <w:t>4620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0D63D364" w:rsidR="00F67333" w:rsidRPr="00686B75" w:rsidRDefault="00CA39CC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ay, 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April 19, 2023,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D18BDA1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(Briefing)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7777777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81574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2023-04-10T16:16:00Z</dcterms:created>
  <dcterms:modified xsi:type="dcterms:W3CDTF">2023-04-10T16:16:00Z</dcterms:modified>
</cp:coreProperties>
</file>