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6451DB60" w:rsidR="00D71AAD" w:rsidRDefault="00967F41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Physical Therapy Management Services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 Accident Fund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5542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4E4B6BE" w:rsidR="006A209F" w:rsidRPr="00CF6064" w:rsidRDefault="004743F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15,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0BAAA34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967F4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67F41" w:rsidRPr="00967F41">
        <w:rPr>
          <w:rFonts w:ascii="Times New Roman" w:eastAsia="Times New Roman" w:hAnsi="Times New Roman" w:cs="Times New Roman"/>
          <w:sz w:val="24"/>
          <w:szCs w:val="24"/>
        </w:rPr>
        <w:t>113 Reed Ave, Lexington, SC 29072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66A02B4" w:rsidR="00CC12CC" w:rsidRDefault="00D94788">
    <w:pPr>
      <w:pStyle w:val="Header"/>
    </w:pPr>
    <w:r>
      <w:rPr>
        <w:noProof/>
      </w:rPr>
      <w:drawing>
        <wp:inline distT="0" distB="0" distL="0" distR="0" wp14:anchorId="2C6ECB3F" wp14:editId="31780635">
          <wp:extent cx="5942443" cy="169417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743F5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67F41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94788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2024-04-12T20:09:00Z</dcterms:created>
  <dcterms:modified xsi:type="dcterms:W3CDTF">2024-04-12T20:09:00Z</dcterms:modified>
</cp:coreProperties>
</file>