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B411" w14:textId="58E9D5E0" w:rsidR="00BE3719" w:rsidRDefault="002F309A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104.10.</w:t>
      </w:r>
      <w:r w:rsidR="000214A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(SFAA: P-Card Oversight) Using funds appropriated, no later than October 1, 2025, the State Fiscal Accountability Authority, Division of Procurement Services (Division) shall publish and maintain a South Carolina Purchasing Card Policy and Procedures Manual (Manual) to establish sound practices for the use of purchasing cards (P-Cards) and for management oversight of such use to reduce the States risk of P-Card misuse and fraud. The Division shall develop and provide training and testing on the requirements of the Manual and begin offering such training no later than October 15, 2025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director of each governmental body as defined in Section 11-35-310 employing P-card holders shall ensure the governmental body develops an agency-specific P-card use manual no later than April 1, 2026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director of each governmental body employing P-card holders shall ensure that every P-card holder and those with responsibility for implementation and oversight of its P-card program have completed the Division P-card training and successfully passed the Division P-card testing no later than April 15, 2026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director of each governmental body employing P-card holders shall ensure that no supervisory or oversight of a P-card role shall be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assigned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nor new P-cards issued before such employees shall complete Division P-card training and successfully pass Division P-card testing. The director of each governmental body employing P-card holders shall ensure the governmental body develops, implements, and provides the Division with documentation of an internal P-card annual training program for employees with supervisory or oversight of P-card programs and for all P-card holders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director of each governmental body employing P-card holders shall obtain an annual compliance audit of the governmental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bodys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P-card program conducted by an independent third-party entity qualified to conduct such an audit and shall provide audit report results and corrective action plans, if any, to the Division no later than October 1, 2025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Division shall compile all such audit report results into a single report and provide the report to the State Fiscal Accountability Authority (Authority) at its first regularly scheduled meeting of each calendar year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 each audit of the procurement system of a governmental body pursuant to Section 11-35-1230, the Division shall also audit the governmental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bodys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P-card program to determine whether internal controls of the governmental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bodys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P-Card program are adequate to ensure compliance, in all material respects, with the Manual, applicable laws and regulations, and internal policies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Division shall include its findings and recommendations in the audit report submitted to the Authority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Authority shall impose administrative penalties for repeat or egregious violations of the Manual, including but not limited to, reduction or suspension of the governmental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bodys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P-Card program, reduction in procurement certification granted pursuant to Section 11-35-1210, removal of authority to conduct sole source procurements, or directing that all or a portion of any P-Card rebates due the governmental body be deposited in the General Fund. The Authority is authorized to request in-person reports from governmental body leadership on corrective actions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being taken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 rectify such repeat or egregious violations of the Manual and may exempt any governmental body from any requirement of this proviso</w:t>
      </w:r>
    </w:p>
    <w:sectPr w:rsidR="00BE3719" w:rsidSect="000214AF">
      <w:headerReference w:type="default" r:id="rId6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C59B" w14:textId="77777777" w:rsidR="000214AF" w:rsidRDefault="000214AF" w:rsidP="000214AF">
      <w:pPr>
        <w:spacing w:after="0" w:line="240" w:lineRule="auto"/>
      </w:pPr>
      <w:r>
        <w:separator/>
      </w:r>
    </w:p>
  </w:endnote>
  <w:endnote w:type="continuationSeparator" w:id="0">
    <w:p w14:paraId="223E8842" w14:textId="77777777" w:rsidR="000214AF" w:rsidRDefault="000214AF" w:rsidP="0002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D098" w14:textId="77777777" w:rsidR="000214AF" w:rsidRDefault="000214AF" w:rsidP="000214AF">
      <w:pPr>
        <w:spacing w:after="0" w:line="240" w:lineRule="auto"/>
      </w:pPr>
      <w:r>
        <w:separator/>
      </w:r>
    </w:p>
  </w:footnote>
  <w:footnote w:type="continuationSeparator" w:id="0">
    <w:p w14:paraId="16E1E5A7" w14:textId="77777777" w:rsidR="000214AF" w:rsidRDefault="000214AF" w:rsidP="0002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660F" w14:textId="0CA41097" w:rsidR="000214AF" w:rsidRPr="000214AF" w:rsidRDefault="000214AF">
    <w:pPr>
      <w:pStyle w:val="Header"/>
      <w:rPr>
        <w:b/>
        <w:bCs/>
      </w:rPr>
    </w:pPr>
    <w:r>
      <w:tab/>
    </w:r>
    <w:r w:rsidRPr="000214AF">
      <w:rPr>
        <w:b/>
        <w:bCs/>
      </w:rPr>
      <w:t>Act 69</w:t>
    </w:r>
  </w:p>
  <w:p w14:paraId="24305C26" w14:textId="5AE36EE9" w:rsidR="000214AF" w:rsidRPr="000214AF" w:rsidRDefault="000214AF">
    <w:pPr>
      <w:pStyle w:val="Header"/>
      <w:rPr>
        <w:b/>
        <w:bCs/>
      </w:rPr>
    </w:pPr>
    <w:r>
      <w:tab/>
    </w:r>
    <w:r w:rsidRPr="000214AF">
      <w:rPr>
        <w:b/>
        <w:bCs/>
      </w:rPr>
      <w:t xml:space="preserve">P-Card </w:t>
    </w:r>
    <w:r w:rsidR="00A1108C">
      <w:rPr>
        <w:b/>
        <w:bCs/>
      </w:rPr>
      <w:t xml:space="preserve">Oversight – </w:t>
    </w:r>
    <w:r w:rsidRPr="000214AF">
      <w:rPr>
        <w:b/>
        <w:bCs/>
      </w:rPr>
      <w:t>Proviso</w:t>
    </w:r>
    <w:r w:rsidR="00A1108C">
      <w:rPr>
        <w:b/>
        <w:bCs/>
      </w:rPr>
      <w:t xml:space="preserve"> 104.10</w:t>
    </w:r>
  </w:p>
  <w:p w14:paraId="61D273F9" w14:textId="3097B31B" w:rsidR="000214AF" w:rsidRPr="000214AF" w:rsidRDefault="000214AF">
    <w:pPr>
      <w:pStyle w:val="Header"/>
      <w:rPr>
        <w:b/>
        <w:bCs/>
      </w:rPr>
    </w:pPr>
    <w:r>
      <w:tab/>
    </w:r>
    <w:r w:rsidRPr="000214AF">
      <w:rPr>
        <w:b/>
        <w:bCs/>
      </w:rPr>
      <w:t>FY 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9A"/>
    <w:rsid w:val="000214AF"/>
    <w:rsid w:val="000E26C8"/>
    <w:rsid w:val="001E195E"/>
    <w:rsid w:val="002F309A"/>
    <w:rsid w:val="003A3E63"/>
    <w:rsid w:val="006C381A"/>
    <w:rsid w:val="00762D59"/>
    <w:rsid w:val="00843A56"/>
    <w:rsid w:val="009C3B76"/>
    <w:rsid w:val="00A1108C"/>
    <w:rsid w:val="00BE3719"/>
    <w:rsid w:val="00CD477D"/>
    <w:rsid w:val="00C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5E16"/>
  <w15:chartTrackingRefBased/>
  <w15:docId w15:val="{A9918259-F01F-4A80-8F5D-729358F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0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4AF"/>
  </w:style>
  <w:style w:type="paragraph" w:styleId="Footer">
    <w:name w:val="footer"/>
    <w:basedOn w:val="Normal"/>
    <w:link w:val="FooterChar"/>
    <w:uiPriority w:val="99"/>
    <w:unhideWhenUsed/>
    <w:rsid w:val="00021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P-Card Proviso</dc:title>
  <dc:subject/>
  <dc:creator>Milling, Crawford</dc:creator>
  <cp:keywords>Legislation</cp:keywords>
  <dc:description/>
  <cp:lastModifiedBy>Milling, Crawford</cp:lastModifiedBy>
  <cp:revision>2</cp:revision>
  <dcterms:created xsi:type="dcterms:W3CDTF">2025-06-09T14:14:00Z</dcterms:created>
  <dcterms:modified xsi:type="dcterms:W3CDTF">2025-06-09T14:30:00Z</dcterms:modified>
</cp:coreProperties>
</file>