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D1AFD" w14:textId="77777777" w:rsidR="003B473D" w:rsidRPr="00222B3D" w:rsidRDefault="003B473D" w:rsidP="003B473D">
      <w:pPr>
        <w:pStyle w:val="Title"/>
      </w:pPr>
      <w:r>
        <w:t xml:space="preserve">Organizational Conflict of Interest </w:t>
      </w:r>
      <w:r w:rsidRPr="00222B3D">
        <w:t>Contract Clauses</w:t>
      </w:r>
    </w:p>
    <w:tbl>
      <w:tblPr>
        <w:tblStyle w:val="MediumShading1-Accent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231"/>
        <w:gridCol w:w="7815"/>
        <w:gridCol w:w="5334"/>
      </w:tblGrid>
      <w:tr w:rsidR="008034EC" w14:paraId="3256E333" w14:textId="77777777" w:rsidTr="00812F19">
        <w:trPr>
          <w:cnfStyle w:val="100000000000" w:firstRow="1" w:lastRow="0" w:firstColumn="0" w:lastColumn="0" w:oddVBand="0" w:evenVBand="0" w:oddHBand="0" w:evenHBand="0" w:firstRowFirstColumn="0" w:firstRowLastColumn="0" w:lastRowFirstColumn="0" w:lastRowLastColumn="0"/>
          <w:tblHeader/>
        </w:trPr>
        <w:tc>
          <w:tcPr>
            <w:tcW w:w="1231" w:type="dxa"/>
            <w:shd w:val="clear" w:color="auto" w:fill="17365D" w:themeFill="text2" w:themeFillShade="BF"/>
          </w:tcPr>
          <w:p w14:paraId="6AD23C0A" w14:textId="77777777" w:rsidR="008034EC" w:rsidRDefault="008034EC" w:rsidP="00A05B05">
            <w:pPr>
              <w:rPr>
                <w:b w:val="0"/>
                <w:i/>
                <w:szCs w:val="24"/>
              </w:rPr>
            </w:pPr>
            <w:r>
              <w:rPr>
                <w:i/>
                <w:szCs w:val="24"/>
              </w:rPr>
              <w:t>Clause #</w:t>
            </w:r>
          </w:p>
        </w:tc>
        <w:tc>
          <w:tcPr>
            <w:tcW w:w="7815" w:type="dxa"/>
            <w:shd w:val="clear" w:color="auto" w:fill="17365D" w:themeFill="text2" w:themeFillShade="BF"/>
            <w:noWrap/>
          </w:tcPr>
          <w:p w14:paraId="1E563D27" w14:textId="77777777" w:rsidR="008034EC" w:rsidRDefault="008034EC" w:rsidP="00A05B05">
            <w:pPr>
              <w:rPr>
                <w:b w:val="0"/>
                <w:i/>
                <w:szCs w:val="24"/>
              </w:rPr>
            </w:pPr>
            <w:r>
              <w:rPr>
                <w:i/>
                <w:szCs w:val="24"/>
              </w:rPr>
              <w:t>Text</w:t>
            </w:r>
          </w:p>
        </w:tc>
        <w:tc>
          <w:tcPr>
            <w:tcW w:w="5334" w:type="dxa"/>
            <w:shd w:val="clear" w:color="auto" w:fill="17365D" w:themeFill="text2" w:themeFillShade="BF"/>
          </w:tcPr>
          <w:p w14:paraId="6D74BBD6" w14:textId="77777777" w:rsidR="008034EC" w:rsidRDefault="008034EC" w:rsidP="00A05B05">
            <w:pPr>
              <w:rPr>
                <w:b w:val="0"/>
                <w:i/>
                <w:szCs w:val="24"/>
              </w:rPr>
            </w:pPr>
            <w:r>
              <w:rPr>
                <w:i/>
                <w:szCs w:val="24"/>
              </w:rPr>
              <w:t>Guidance on Use</w:t>
            </w:r>
          </w:p>
        </w:tc>
      </w:tr>
      <w:tr w:rsidR="008034EC" w14:paraId="198D2726" w14:textId="77777777" w:rsidTr="00812F19">
        <w:trPr>
          <w:cnfStyle w:val="000000100000" w:firstRow="0" w:lastRow="0" w:firstColumn="0" w:lastColumn="0" w:oddVBand="0" w:evenVBand="0" w:oddHBand="1" w:evenHBand="0" w:firstRowFirstColumn="0" w:firstRowLastColumn="0" w:lastRowFirstColumn="0" w:lastRowLastColumn="0"/>
        </w:trPr>
        <w:tc>
          <w:tcPr>
            <w:tcW w:w="1231" w:type="dxa"/>
            <w:tcBorders>
              <w:bottom w:val="single" w:sz="4" w:space="0" w:color="auto"/>
              <w:right w:val="none" w:sz="0" w:space="0" w:color="auto"/>
            </w:tcBorders>
          </w:tcPr>
          <w:p w14:paraId="4662BC10" w14:textId="138F64EE" w:rsidR="008034EC" w:rsidRDefault="004C595B" w:rsidP="00A05B05">
            <w:pPr>
              <w:rPr>
                <w:szCs w:val="24"/>
              </w:rPr>
            </w:pPr>
            <w:r>
              <w:rPr>
                <w:szCs w:val="24"/>
              </w:rPr>
              <w:t>2A047</w:t>
            </w:r>
            <w:r w:rsidR="000A5B9E">
              <w:rPr>
                <w:szCs w:val="24"/>
              </w:rPr>
              <w:t>-3</w:t>
            </w:r>
          </w:p>
        </w:tc>
        <w:tc>
          <w:tcPr>
            <w:tcW w:w="7815" w:type="dxa"/>
            <w:tcBorders>
              <w:left w:val="none" w:sz="0" w:space="0" w:color="auto"/>
              <w:bottom w:val="single" w:sz="4" w:space="0" w:color="auto"/>
              <w:right w:val="none" w:sz="0" w:space="0" w:color="auto"/>
            </w:tcBorders>
            <w:noWrap/>
          </w:tcPr>
          <w:p w14:paraId="0F81836B" w14:textId="1AC606C3" w:rsidR="004C595B" w:rsidRPr="004C595B" w:rsidRDefault="004C595B" w:rsidP="004C595B">
            <w:pPr>
              <w:rPr>
                <w:b/>
                <w:bCs/>
                <w:szCs w:val="24"/>
              </w:rPr>
            </w:pPr>
            <w:bookmarkStart w:id="0" w:name="Disclosure_of_Conflicts"/>
            <w:r w:rsidRPr="004C595B">
              <w:rPr>
                <w:b/>
                <w:bCs/>
                <w:szCs w:val="24"/>
              </w:rPr>
              <w:t xml:space="preserve">DISCLOSURE OF CONFLICTS OF INTEREST OR UNFAIR COMPETITIVE ADVANTAGE </w:t>
            </w:r>
            <w:bookmarkEnd w:id="0"/>
            <w:r w:rsidRPr="004C595B">
              <w:rPr>
                <w:b/>
                <w:bCs/>
                <w:szCs w:val="24"/>
              </w:rPr>
              <w:t>(</w:t>
            </w:r>
            <w:r w:rsidR="00636BAF">
              <w:rPr>
                <w:b/>
                <w:bCs/>
                <w:szCs w:val="24"/>
              </w:rPr>
              <w:t>JUL</w:t>
            </w:r>
            <w:r w:rsidRPr="004C595B">
              <w:rPr>
                <w:b/>
                <w:bCs/>
                <w:szCs w:val="24"/>
              </w:rPr>
              <w:t xml:space="preserve"> 2023)</w:t>
            </w:r>
          </w:p>
          <w:p w14:paraId="769B4F13" w14:textId="77777777" w:rsidR="004C595B" w:rsidRPr="004C595B" w:rsidRDefault="004C595B" w:rsidP="004C595B">
            <w:pPr>
              <w:rPr>
                <w:szCs w:val="24"/>
              </w:rPr>
            </w:pPr>
            <w:r w:rsidRPr="004C595B">
              <w:rPr>
                <w:szCs w:val="24"/>
              </w:rPr>
              <w:t xml:space="preserve">(“OCI FAQ for Contractors” is available at </w:t>
            </w:r>
            <w:hyperlink r:id="rId8" w:history="1">
              <w:r w:rsidRPr="004C595B">
                <w:rPr>
                  <w:rStyle w:val="Hyperlink"/>
                  <w:szCs w:val="24"/>
                </w:rPr>
                <w:t>www.procurement.sc.gov</w:t>
              </w:r>
            </w:hyperlink>
            <w:r w:rsidRPr="004C595B">
              <w:rPr>
                <w:szCs w:val="24"/>
              </w:rPr>
              <w:t>)</w:t>
            </w:r>
          </w:p>
          <w:p w14:paraId="3F358D61" w14:textId="0E049B0D" w:rsidR="004C595B" w:rsidRPr="004C595B" w:rsidRDefault="004C595B" w:rsidP="004C595B">
            <w:pPr>
              <w:rPr>
                <w:szCs w:val="24"/>
              </w:rPr>
            </w:pPr>
            <w:r w:rsidRPr="004C595B">
              <w:rPr>
                <w:szCs w:val="24"/>
              </w:rPr>
              <w:t xml:space="preserve">(a) You certify that, </w:t>
            </w:r>
            <w:r>
              <w:rPr>
                <w:szCs w:val="24"/>
              </w:rPr>
              <w:t xml:space="preserve">after reasonable inquiry, </w:t>
            </w:r>
            <w:r w:rsidRPr="004C595B">
              <w:rPr>
                <w:szCs w:val="24"/>
              </w:rPr>
              <w:t>to the best of your knowledge and belief:</w:t>
            </w:r>
          </w:p>
          <w:p w14:paraId="047D9749" w14:textId="77777777" w:rsidR="004C595B" w:rsidRPr="004C595B" w:rsidRDefault="004C595B" w:rsidP="004C595B">
            <w:pPr>
              <w:rPr>
                <w:szCs w:val="24"/>
              </w:rPr>
            </w:pPr>
            <w:r w:rsidRPr="004C595B">
              <w:rPr>
                <w:szCs w:val="24"/>
              </w:rPr>
              <w:t>(1) your offer identifies any services that relate to either this solicitation or the work and that have already been performed by you, a proposed subcontractor, or an affiliated business or consultant of either; and</w:t>
            </w:r>
          </w:p>
          <w:p w14:paraId="61218536" w14:textId="77777777" w:rsidR="004C595B" w:rsidRPr="004C595B" w:rsidRDefault="004C595B" w:rsidP="004C595B">
            <w:pPr>
              <w:rPr>
                <w:szCs w:val="24"/>
              </w:rPr>
            </w:pPr>
            <w:r w:rsidRPr="004C595B">
              <w:rPr>
                <w:szCs w:val="24"/>
              </w:rPr>
              <w:t xml:space="preserve">(2) there are no relevant facts or circumstances that may give rise to an actual or potential organizational conflict of interest, as defined in S.C. Code Ann. Reg. 19-445.2127, or that your offer identifies and explains any unfair competitive advantage you may have in competing for the proposed contract and any actual or potential conflicts of interest that may arise from your participation in this competition or your receipt of an award. </w:t>
            </w:r>
          </w:p>
          <w:p w14:paraId="5E006393" w14:textId="2A76276C" w:rsidR="004C595B" w:rsidRPr="004C595B" w:rsidRDefault="004C595B" w:rsidP="004C595B">
            <w:pPr>
              <w:rPr>
                <w:szCs w:val="24"/>
              </w:rPr>
            </w:pPr>
            <w:r w:rsidRPr="004C595B">
              <w:rPr>
                <w:szCs w:val="24"/>
              </w:rPr>
              <w:t>(b) If you, a proposed subcontractor, or an affiliated business or consultant of either, have an unfair competitive advantage or a</w:t>
            </w:r>
            <w:r>
              <w:rPr>
                <w:szCs w:val="24"/>
              </w:rPr>
              <w:t>n</w:t>
            </w:r>
            <w:r w:rsidRPr="004C595B">
              <w:rPr>
                <w:szCs w:val="24"/>
              </w:rPr>
              <w:t xml:space="preserve"> actual or potential conflict of interest, the State may withhold award. Before withholding award on these grounds, the State will notify you of the concerns and provide a reasonable opportunity for you to respond. The State may consider efforts to avoid or mitigate such concerns, including restrictions on future activities. </w:t>
            </w:r>
          </w:p>
          <w:p w14:paraId="216AA1A4" w14:textId="4FF8DB03" w:rsidR="008034EC" w:rsidRDefault="004C595B" w:rsidP="004C595B">
            <w:pPr>
              <w:rPr>
                <w:szCs w:val="24"/>
              </w:rPr>
            </w:pPr>
            <w:r w:rsidRPr="004C595B">
              <w:rPr>
                <w:szCs w:val="24"/>
              </w:rPr>
              <w:t>(c) The certification in paragraph (a) of this provision is a material representation of fact upon which the State will rely when considering your offer for award. [02-2A047-3]</w:t>
            </w:r>
          </w:p>
        </w:tc>
        <w:tc>
          <w:tcPr>
            <w:tcW w:w="5334" w:type="dxa"/>
            <w:tcBorders>
              <w:left w:val="none" w:sz="0" w:space="0" w:color="auto"/>
              <w:bottom w:val="single" w:sz="4" w:space="0" w:color="auto"/>
            </w:tcBorders>
          </w:tcPr>
          <w:p w14:paraId="12C7E447" w14:textId="5D0592AA" w:rsidR="008034EC" w:rsidRDefault="004C595B" w:rsidP="00A05B05">
            <w:pPr>
              <w:rPr>
                <w:szCs w:val="24"/>
              </w:rPr>
            </w:pPr>
            <w:r>
              <w:rPr>
                <w:szCs w:val="24"/>
              </w:rPr>
              <w:t>Mandatory. Use in all solicitations.</w:t>
            </w:r>
          </w:p>
        </w:tc>
      </w:tr>
      <w:tr w:rsidR="004C595B" w14:paraId="535260E2" w14:textId="77777777" w:rsidTr="00812F19">
        <w:trPr>
          <w:cnfStyle w:val="000000010000" w:firstRow="0" w:lastRow="0" w:firstColumn="0" w:lastColumn="0" w:oddVBand="0" w:evenVBand="0" w:oddHBand="0" w:evenHBand="1" w:firstRowFirstColumn="0" w:firstRowLastColumn="0" w:lastRowFirstColumn="0" w:lastRowLastColumn="0"/>
        </w:trPr>
        <w:tc>
          <w:tcPr>
            <w:tcW w:w="1231" w:type="dxa"/>
          </w:tcPr>
          <w:p w14:paraId="6C59711C" w14:textId="3F37D9E9" w:rsidR="004C595B" w:rsidRDefault="004C595B" w:rsidP="00A05B05">
            <w:pPr>
              <w:rPr>
                <w:szCs w:val="24"/>
              </w:rPr>
            </w:pPr>
            <w:r>
              <w:rPr>
                <w:szCs w:val="24"/>
              </w:rPr>
              <w:t>4XXX</w:t>
            </w:r>
          </w:p>
        </w:tc>
        <w:tc>
          <w:tcPr>
            <w:tcW w:w="7815" w:type="dxa"/>
            <w:noWrap/>
          </w:tcPr>
          <w:p w14:paraId="3E552094" w14:textId="77777777" w:rsidR="004C595B" w:rsidRPr="004C595B" w:rsidRDefault="004C595B" w:rsidP="004C595B">
            <w:pPr>
              <w:rPr>
                <w:b/>
                <w:bCs/>
                <w:szCs w:val="24"/>
                <w:lang w:bidi="en-US"/>
              </w:rPr>
            </w:pPr>
            <w:bookmarkStart w:id="1" w:name="_Hlk80871425"/>
            <w:bookmarkStart w:id="2" w:name="OCI_Mitigation_Plan_Required"/>
            <w:r w:rsidRPr="004C595B">
              <w:rPr>
                <w:b/>
                <w:bCs/>
                <w:szCs w:val="24"/>
                <w:lang w:bidi="en-US"/>
              </w:rPr>
              <w:t xml:space="preserve">ORGANIZATIONAL CONFLICT OF INTEREST - </w:t>
            </w:r>
            <w:r w:rsidRPr="004C595B">
              <w:rPr>
                <w:b/>
                <w:bCs/>
                <w:szCs w:val="24"/>
              </w:rPr>
              <w:t>MITIGATION PLAN REQUIRED</w:t>
            </w:r>
            <w:bookmarkEnd w:id="1"/>
            <w:bookmarkEnd w:id="2"/>
          </w:p>
          <w:p w14:paraId="54212E2F" w14:textId="77777777" w:rsidR="004C595B" w:rsidRPr="004C595B" w:rsidRDefault="004C595B" w:rsidP="004C595B">
            <w:pPr>
              <w:rPr>
                <w:szCs w:val="24"/>
              </w:rPr>
            </w:pPr>
            <w:r w:rsidRPr="004C595B">
              <w:rPr>
                <w:szCs w:val="24"/>
                <w:lang w:bidi="en-US"/>
              </w:rPr>
              <w:t xml:space="preserve">(a) </w:t>
            </w:r>
            <w:r w:rsidRPr="004C595B">
              <w:rPr>
                <w:szCs w:val="24"/>
              </w:rPr>
              <w:t xml:space="preserve">The policy of the State is to avoid contracting with contractors who have unacceptable organizational conflicts of interest. </w:t>
            </w:r>
            <w:r w:rsidRPr="004C595B">
              <w:rPr>
                <w:szCs w:val="24"/>
                <w:lang w:bidi="en-US"/>
              </w:rPr>
              <w:t xml:space="preserve">The State has determined that this acquisition may give rise to an organizational conflict of interest (OCI). Accordingly, the attention of prospective Offerors is invited to S.C. Code Ann. Reg. 19-445.2127, Organizational Conflicts of Interest. Additional information is available at </w:t>
            </w:r>
            <w:hyperlink r:id="rId9" w:history="1">
              <w:r w:rsidRPr="004C595B">
                <w:rPr>
                  <w:rStyle w:val="Hyperlink"/>
                  <w:szCs w:val="24"/>
                  <w:lang w:bidi="en-US"/>
                </w:rPr>
                <w:t>http://procurement.sc.gov</w:t>
              </w:r>
            </w:hyperlink>
            <w:r w:rsidRPr="004C595B">
              <w:rPr>
                <w:szCs w:val="24"/>
                <w:lang w:bidi="en-US"/>
              </w:rPr>
              <w:t xml:space="preserve"> (.) The State shall not award a contract until it determines any conflict of interest is reasonably resolved. </w:t>
            </w:r>
            <w:r w:rsidRPr="004C595B">
              <w:rPr>
                <w:szCs w:val="24"/>
              </w:rPr>
              <w:t xml:space="preserve">It is not the State’s intention to foreclose a vendor from a competitive acquisition due to a perceived OCI. The Procurement Officer is fully empowered to evaluate each potential OCI scenario based upon the applicable facts and circumstances. The final determination of such action may be negotiated between the impaired vendor and the Procurement Officer. </w:t>
            </w:r>
            <w:r w:rsidRPr="004C595B">
              <w:rPr>
                <w:szCs w:val="24"/>
                <w:lang w:bidi="en-US"/>
              </w:rPr>
              <w:t xml:space="preserve">As such, the State may communicate with any Offeror at any time during the evaluation process concerning its OCI plan. </w:t>
            </w:r>
            <w:r w:rsidRPr="004C595B">
              <w:rPr>
                <w:szCs w:val="24"/>
              </w:rPr>
              <w:t xml:space="preserve">The State is committed to working with potential vendors to eliminate or mitigate actual and perceived OCI situations, without </w:t>
            </w:r>
            <w:r w:rsidRPr="004C595B">
              <w:rPr>
                <w:szCs w:val="24"/>
              </w:rPr>
              <w:lastRenderedPageBreak/>
              <w:t xml:space="preserve">detriment to the integrity of the competitive process or the legitimate business interests of the vendor community. </w:t>
            </w:r>
          </w:p>
          <w:p w14:paraId="17F5B524" w14:textId="77777777" w:rsidR="004C595B" w:rsidRPr="004C595B" w:rsidRDefault="004C595B" w:rsidP="004C595B">
            <w:pPr>
              <w:rPr>
                <w:szCs w:val="24"/>
                <w:lang w:bidi="en-US"/>
              </w:rPr>
            </w:pPr>
            <w:r w:rsidRPr="004C595B">
              <w:rPr>
                <w:szCs w:val="24"/>
                <w:lang w:bidi="en-US"/>
              </w:rPr>
              <w:t xml:space="preserve">(b) Description of Potential Conflict. The nature of this organizational conflict of interest is… </w:t>
            </w:r>
          </w:p>
          <w:p w14:paraId="4832E76A" w14:textId="77777777" w:rsidR="004C595B" w:rsidRPr="004C595B" w:rsidRDefault="004C595B" w:rsidP="004C595B">
            <w:pPr>
              <w:rPr>
                <w:i/>
                <w:iCs/>
                <w:szCs w:val="24"/>
                <w:lang w:bidi="en-US"/>
              </w:rPr>
            </w:pPr>
            <w:r w:rsidRPr="004C595B">
              <w:rPr>
                <w:i/>
                <w:iCs/>
                <w:szCs w:val="24"/>
                <w:lang w:bidi="en-US"/>
              </w:rPr>
              <w:t>[Describe the nature of the conflict here.]</w:t>
            </w:r>
          </w:p>
          <w:p w14:paraId="63E4B655" w14:textId="77777777" w:rsidR="004C595B" w:rsidRDefault="004C595B" w:rsidP="004C595B">
            <w:pPr>
              <w:rPr>
                <w:szCs w:val="24"/>
              </w:rPr>
            </w:pPr>
            <w:r w:rsidRPr="004C595B">
              <w:rPr>
                <w:szCs w:val="24"/>
                <w:lang w:bidi="en-US"/>
              </w:rPr>
              <w:t xml:space="preserve">(c) </w:t>
            </w:r>
            <w:r w:rsidRPr="004C595B">
              <w:rPr>
                <w:szCs w:val="24"/>
              </w:rPr>
              <w:t>Mitigation Plans. The successful contractor may be required to permit a State audit of internal OCI mitigation procedures for verification purposes. The State reserves the right to reject a mitigation plan, if in the opinion of the Procurement Officer, such a plan is not in the State’s interest. Considerations that may lead to rejection include, but are not limited to, whether the State possesses sufficient resources to monitor the contractor’s compliance with the plan. Additionally, after award the State may review and audit OCI mitigation plans as needed, in the event of changes in the vendor community due to mergers, consolidations, or any unanticipated circumstances that may create an unacceptable OCI.</w:t>
            </w:r>
          </w:p>
        </w:tc>
        <w:tc>
          <w:tcPr>
            <w:tcW w:w="5334" w:type="dxa"/>
          </w:tcPr>
          <w:p w14:paraId="5833B923" w14:textId="54DAF0AA" w:rsidR="004C595B" w:rsidRDefault="004C595B" w:rsidP="00A05B05">
            <w:pPr>
              <w:rPr>
                <w:szCs w:val="24"/>
              </w:rPr>
            </w:pPr>
            <w:r w:rsidRPr="004C595B">
              <w:rPr>
                <w:szCs w:val="24"/>
              </w:rPr>
              <w:lastRenderedPageBreak/>
              <w:t>Use this clause</w:t>
            </w:r>
            <w:r w:rsidR="00636BAF">
              <w:rPr>
                <w:szCs w:val="24"/>
              </w:rPr>
              <w:t xml:space="preserve"> with a description of the potential </w:t>
            </w:r>
            <w:r w:rsidR="007B26E8">
              <w:rPr>
                <w:szCs w:val="24"/>
              </w:rPr>
              <w:t xml:space="preserve">conflict </w:t>
            </w:r>
            <w:r w:rsidR="007B26E8" w:rsidRPr="004C595B">
              <w:rPr>
                <w:szCs w:val="24"/>
              </w:rPr>
              <w:t>to</w:t>
            </w:r>
            <w:r w:rsidRPr="004C595B">
              <w:rPr>
                <w:szCs w:val="24"/>
              </w:rPr>
              <w:t xml:space="preserve"> request submittal of an OCI mitigation plan.</w:t>
            </w:r>
            <w:r>
              <w:rPr>
                <w:szCs w:val="24"/>
              </w:rPr>
              <w:t xml:space="preserve"> </w:t>
            </w:r>
            <w:r w:rsidR="00636BAF">
              <w:rPr>
                <w:szCs w:val="24"/>
              </w:rPr>
              <w:t xml:space="preserve">It should appear in Part 4 (Information for Offerors to Submit) of the solicitation. </w:t>
            </w:r>
            <w:r>
              <w:rPr>
                <w:szCs w:val="24"/>
              </w:rPr>
              <w:t xml:space="preserve">If you </w:t>
            </w:r>
            <w:r w:rsidR="00636BAF">
              <w:rPr>
                <w:szCs w:val="24"/>
              </w:rPr>
              <w:t>will</w:t>
            </w:r>
            <w:r>
              <w:rPr>
                <w:szCs w:val="24"/>
              </w:rPr>
              <w:t xml:space="preserve"> evaluate the submitted plan, m</w:t>
            </w:r>
            <w:r w:rsidR="003B473D">
              <w:rPr>
                <w:szCs w:val="24"/>
              </w:rPr>
              <w:t>ake sure you include the mitigation plan among the evaluation factors in</w:t>
            </w:r>
            <w:r>
              <w:rPr>
                <w:szCs w:val="24"/>
              </w:rPr>
              <w:t xml:space="preserve"> Part </w:t>
            </w:r>
            <w:r w:rsidR="003B473D">
              <w:rPr>
                <w:szCs w:val="24"/>
              </w:rPr>
              <w:t>6.</w:t>
            </w:r>
          </w:p>
        </w:tc>
      </w:tr>
      <w:tr w:rsidR="004C595B" w14:paraId="10C15008" w14:textId="77777777" w:rsidTr="00812F19">
        <w:trPr>
          <w:cnfStyle w:val="000000100000" w:firstRow="0" w:lastRow="0" w:firstColumn="0" w:lastColumn="0" w:oddVBand="0" w:evenVBand="0" w:oddHBand="1" w:evenHBand="0" w:firstRowFirstColumn="0" w:firstRowLastColumn="0" w:lastRowFirstColumn="0" w:lastRowLastColumn="0"/>
          <w:cantSplit/>
        </w:trPr>
        <w:tc>
          <w:tcPr>
            <w:tcW w:w="1231" w:type="dxa"/>
            <w:tcBorders>
              <w:right w:val="single" w:sz="4" w:space="0" w:color="auto"/>
            </w:tcBorders>
          </w:tcPr>
          <w:p w14:paraId="5723AEDA" w14:textId="7D649C95" w:rsidR="008034EC" w:rsidRDefault="004C595B" w:rsidP="00A05B05">
            <w:pPr>
              <w:rPr>
                <w:rFonts w:cs="Arial"/>
                <w:szCs w:val="14"/>
              </w:rPr>
            </w:pPr>
            <w:r>
              <w:rPr>
                <w:rFonts w:cs="Arial"/>
                <w:szCs w:val="14"/>
              </w:rPr>
              <w:t>7A054</w:t>
            </w:r>
            <w:r w:rsidR="000A5B9E">
              <w:rPr>
                <w:rFonts w:cs="Arial"/>
                <w:szCs w:val="14"/>
              </w:rPr>
              <w:t>-1</w:t>
            </w:r>
          </w:p>
        </w:tc>
        <w:tc>
          <w:tcPr>
            <w:tcW w:w="7815" w:type="dxa"/>
            <w:tcBorders>
              <w:left w:val="single" w:sz="4" w:space="0" w:color="auto"/>
              <w:right w:val="single" w:sz="4" w:space="0" w:color="auto"/>
            </w:tcBorders>
            <w:noWrap/>
          </w:tcPr>
          <w:p w14:paraId="04A16FBC" w14:textId="576EDF1E" w:rsidR="004C595B" w:rsidRPr="004C595B" w:rsidRDefault="004C595B" w:rsidP="004C595B">
            <w:pPr>
              <w:rPr>
                <w:b/>
                <w:bCs/>
                <w:szCs w:val="24"/>
              </w:rPr>
            </w:pPr>
            <w:bookmarkStart w:id="3" w:name="OCI"/>
            <w:r w:rsidRPr="004C595B">
              <w:rPr>
                <w:b/>
                <w:bCs/>
                <w:szCs w:val="24"/>
              </w:rPr>
              <w:t>ORGANIZATIONAL CONFLICT OF INTEREST</w:t>
            </w:r>
            <w:bookmarkEnd w:id="3"/>
            <w:r w:rsidRPr="004C595B">
              <w:rPr>
                <w:b/>
                <w:bCs/>
                <w:szCs w:val="24"/>
              </w:rPr>
              <w:t xml:space="preserve"> (</w:t>
            </w:r>
            <w:r w:rsidR="00636BAF">
              <w:rPr>
                <w:b/>
                <w:bCs/>
                <w:szCs w:val="24"/>
              </w:rPr>
              <w:t>JUL</w:t>
            </w:r>
            <w:r w:rsidRPr="004C595B">
              <w:rPr>
                <w:b/>
                <w:bCs/>
                <w:szCs w:val="24"/>
              </w:rPr>
              <w:t xml:space="preserve"> 2023)</w:t>
            </w:r>
          </w:p>
          <w:p w14:paraId="40482C8E" w14:textId="77777777" w:rsidR="004C595B" w:rsidRPr="004C595B" w:rsidRDefault="004C595B" w:rsidP="004C595B">
            <w:pPr>
              <w:rPr>
                <w:szCs w:val="24"/>
              </w:rPr>
            </w:pPr>
            <w:r w:rsidRPr="004C595B">
              <w:rPr>
                <w:szCs w:val="24"/>
              </w:rPr>
              <w:t>(a) The Contractor agrees to immediately advise the Procurement Officer if an actual or potential organizational conflict of interest is discovered after award, and to make a full written disclosure promptly thereafter to the Procurement Officer. This disclosure shall include a description of actions which the Contractor has taken or proposes to take, after consultation with the Procurement Officer, to avoid, mitigate, or neutralize the actual or potential conflict.</w:t>
            </w:r>
          </w:p>
          <w:p w14:paraId="2BE21256" w14:textId="77777777" w:rsidR="004C595B" w:rsidRPr="004C595B" w:rsidRDefault="004C595B" w:rsidP="004C595B">
            <w:pPr>
              <w:rPr>
                <w:szCs w:val="24"/>
              </w:rPr>
            </w:pPr>
            <w:r w:rsidRPr="004C595B">
              <w:rPr>
                <w:szCs w:val="24"/>
              </w:rPr>
              <w:t>(b) The State may terminate this contract for convenience, in whole or in part, if it deems such termination necessary to avoid an organizational conflict of interest. Contractor’s failure to include an appropriate termination for convenience clause in any subcontract shall not increase the obligation of the State beyond what it would have been if the subcontract had contained such a clause.</w:t>
            </w:r>
          </w:p>
          <w:p w14:paraId="1AE6436A" w14:textId="77777777" w:rsidR="004C595B" w:rsidRPr="004C595B" w:rsidRDefault="004C595B" w:rsidP="004C595B">
            <w:pPr>
              <w:rPr>
                <w:szCs w:val="24"/>
              </w:rPr>
            </w:pPr>
            <w:r w:rsidRPr="004C595B">
              <w:rPr>
                <w:szCs w:val="24"/>
              </w:rPr>
              <w:t>(c) The disclosure required by paragraph (a) of this provision is a material obligation of the contract. If the Contractor knew or should have known of an organizational conflict of interest prior to award, or discovers an actual or potential conflict after award, and does not disclose, or misrepresents, relevant information to the Procurement Officer, the State may terminate the contract for default.</w:t>
            </w:r>
          </w:p>
          <w:p w14:paraId="5036C0CC" w14:textId="0EB4E8A4" w:rsidR="008034EC" w:rsidRDefault="004C595B" w:rsidP="004C595B">
            <w:pPr>
              <w:rPr>
                <w:szCs w:val="24"/>
              </w:rPr>
            </w:pPr>
            <w:r w:rsidRPr="004C595B">
              <w:rPr>
                <w:szCs w:val="24"/>
              </w:rPr>
              <w:t>[07-7A054-1]</w:t>
            </w:r>
          </w:p>
        </w:tc>
        <w:tc>
          <w:tcPr>
            <w:tcW w:w="5334" w:type="dxa"/>
            <w:tcBorders>
              <w:left w:val="single" w:sz="4" w:space="0" w:color="auto"/>
            </w:tcBorders>
          </w:tcPr>
          <w:p w14:paraId="5F8F1FBC" w14:textId="26B5A4FD" w:rsidR="008034EC" w:rsidRDefault="003B473D" w:rsidP="00A05B05">
            <w:pPr>
              <w:rPr>
                <w:szCs w:val="24"/>
              </w:rPr>
            </w:pPr>
            <w:r>
              <w:rPr>
                <w:szCs w:val="24"/>
              </w:rPr>
              <w:t>Mandatory. Use in all solicitations.</w:t>
            </w:r>
          </w:p>
        </w:tc>
      </w:tr>
      <w:tr w:rsidR="004C595B" w14:paraId="6F8C69CC" w14:textId="77777777" w:rsidTr="003B473D">
        <w:trPr>
          <w:cnfStyle w:val="000000010000" w:firstRow="0" w:lastRow="0" w:firstColumn="0" w:lastColumn="0" w:oddVBand="0" w:evenVBand="0" w:oddHBand="0" w:evenHBand="1" w:firstRowFirstColumn="0" w:firstRowLastColumn="0" w:lastRowFirstColumn="0" w:lastRowLastColumn="0"/>
        </w:trPr>
        <w:tc>
          <w:tcPr>
            <w:tcW w:w="1231" w:type="dxa"/>
            <w:tcBorders>
              <w:right w:val="single" w:sz="4" w:space="0" w:color="auto"/>
            </w:tcBorders>
          </w:tcPr>
          <w:p w14:paraId="6328097D" w14:textId="49AAF704" w:rsidR="008034EC" w:rsidRDefault="004C595B" w:rsidP="00A05B05">
            <w:pPr>
              <w:rPr>
                <w:rFonts w:cs="Arial"/>
                <w:szCs w:val="14"/>
              </w:rPr>
            </w:pPr>
            <w:r>
              <w:rPr>
                <w:rFonts w:cs="Arial"/>
                <w:szCs w:val="14"/>
              </w:rPr>
              <w:t>7BXXX</w:t>
            </w:r>
          </w:p>
        </w:tc>
        <w:tc>
          <w:tcPr>
            <w:tcW w:w="7815" w:type="dxa"/>
            <w:tcBorders>
              <w:left w:val="single" w:sz="4" w:space="0" w:color="auto"/>
              <w:right w:val="single" w:sz="4" w:space="0" w:color="auto"/>
            </w:tcBorders>
            <w:noWrap/>
          </w:tcPr>
          <w:p w14:paraId="5CEB99F8" w14:textId="77777777" w:rsidR="004C595B" w:rsidRPr="004C595B" w:rsidRDefault="004C595B" w:rsidP="004C595B">
            <w:pPr>
              <w:rPr>
                <w:b/>
                <w:bCs/>
                <w:szCs w:val="24"/>
                <w:lang w:bidi="en-US"/>
              </w:rPr>
            </w:pPr>
            <w:bookmarkStart w:id="4" w:name="_Hlk80871341"/>
            <w:bookmarkStart w:id="5" w:name="Exclusion_from_future_contracts"/>
            <w:r w:rsidRPr="004C595B">
              <w:rPr>
                <w:b/>
                <w:bCs/>
                <w:szCs w:val="24"/>
                <w:lang w:bidi="en-US"/>
              </w:rPr>
              <w:t>EXCLUSION FROM FUTURE AGENCY CONTRACTS—ORGANIZATIONAL CONFLICTS OF INTEREST</w:t>
            </w:r>
            <w:bookmarkEnd w:id="4"/>
            <w:bookmarkEnd w:id="5"/>
          </w:p>
          <w:p w14:paraId="74BAFA9F" w14:textId="77777777" w:rsidR="004C595B" w:rsidRPr="004C595B" w:rsidRDefault="004C595B" w:rsidP="004C595B">
            <w:pPr>
              <w:rPr>
                <w:szCs w:val="24"/>
                <w:lang w:bidi="en-US"/>
              </w:rPr>
            </w:pPr>
            <w:r w:rsidRPr="004C595B">
              <w:rPr>
                <w:szCs w:val="24"/>
                <w:lang w:bidi="en-US"/>
              </w:rPr>
              <w:t xml:space="preserve">(a) The State has determined that this acquisition may give rise to an organizational conflict of interest (OCI). Accordingly, the attention of prospective Offerors is invited to S.C. Code Ann. Reg. 19-445.2127, Organizational Conflicts of Interest. Additional information is available at </w:t>
            </w:r>
            <w:hyperlink r:id="rId10" w:history="1">
              <w:r w:rsidRPr="004C595B">
                <w:rPr>
                  <w:rStyle w:val="Hyperlink"/>
                  <w:szCs w:val="24"/>
                  <w:lang w:bidi="en-US"/>
                </w:rPr>
                <w:t>http://procurement.sc.gov</w:t>
              </w:r>
            </w:hyperlink>
            <w:r w:rsidRPr="004C595B">
              <w:rPr>
                <w:szCs w:val="24"/>
                <w:lang w:bidi="en-US"/>
              </w:rPr>
              <w:t xml:space="preserve"> (.)</w:t>
            </w:r>
          </w:p>
          <w:p w14:paraId="442DA9A3" w14:textId="77777777" w:rsidR="004C595B" w:rsidRPr="004C595B" w:rsidRDefault="004C595B" w:rsidP="004C595B">
            <w:pPr>
              <w:rPr>
                <w:szCs w:val="24"/>
                <w:lang w:bidi="en-US"/>
              </w:rPr>
            </w:pPr>
            <w:r w:rsidRPr="004C595B">
              <w:rPr>
                <w:szCs w:val="24"/>
                <w:lang w:bidi="en-US"/>
              </w:rPr>
              <w:t xml:space="preserve">(b)The nature of this organizational conflict of interest is… </w:t>
            </w:r>
          </w:p>
          <w:p w14:paraId="26D1A011" w14:textId="77777777" w:rsidR="004C595B" w:rsidRPr="004C595B" w:rsidRDefault="004C595B" w:rsidP="004C595B">
            <w:pPr>
              <w:rPr>
                <w:i/>
                <w:iCs/>
                <w:szCs w:val="24"/>
                <w:lang w:bidi="en-US"/>
              </w:rPr>
            </w:pPr>
            <w:r w:rsidRPr="004C595B">
              <w:rPr>
                <w:i/>
                <w:iCs/>
                <w:szCs w:val="24"/>
                <w:lang w:bidi="en-US"/>
              </w:rPr>
              <w:t>[Describe the nature of the conflict here. For purposes of this clause, it should correspond to one of the conflicts described in Reg. 19-445.2127B, C, or D.]</w:t>
            </w:r>
          </w:p>
          <w:p w14:paraId="52F67B73" w14:textId="77777777" w:rsidR="004C595B" w:rsidRPr="004C595B" w:rsidRDefault="004C595B" w:rsidP="004C595B">
            <w:pPr>
              <w:rPr>
                <w:szCs w:val="24"/>
              </w:rPr>
            </w:pPr>
            <w:r w:rsidRPr="004C595B">
              <w:rPr>
                <w:szCs w:val="24"/>
                <w:lang w:bidi="en-US"/>
              </w:rPr>
              <w:lastRenderedPageBreak/>
              <w:t>(c) Required OCI Resolution.</w:t>
            </w:r>
            <w:r w:rsidRPr="004C595B">
              <w:rPr>
                <w:szCs w:val="24"/>
              </w:rPr>
              <w:t xml:space="preserve"> In order to prevent a future OCI resulting from potential bias, unfair competitive advantage, or impaired objectivity, the Contractor will be subject to the following restrictions:</w:t>
            </w:r>
          </w:p>
          <w:p w14:paraId="54EACB5C" w14:textId="77777777" w:rsidR="004C595B" w:rsidRPr="004C595B" w:rsidRDefault="004C595B" w:rsidP="004C595B">
            <w:pPr>
              <w:rPr>
                <w:szCs w:val="24"/>
              </w:rPr>
            </w:pPr>
            <w:r w:rsidRPr="004C595B">
              <w:rPr>
                <w:szCs w:val="24"/>
              </w:rPr>
              <w:t>(1) The Contractor will be excluded from competition for, or award of any government contracts as to which, in the course of performance of this contract, the Contractor has received advance procurement information before such information has been made generally available to other persons or firms.</w:t>
            </w:r>
            <w:r w:rsidRPr="004C595B">
              <w:rPr>
                <w:szCs w:val="24"/>
              </w:rPr>
              <w:tab/>
            </w:r>
          </w:p>
          <w:p w14:paraId="4E88676E" w14:textId="77777777" w:rsidR="004C595B" w:rsidRPr="004C595B" w:rsidRDefault="004C595B" w:rsidP="004C595B">
            <w:pPr>
              <w:rPr>
                <w:szCs w:val="24"/>
              </w:rPr>
            </w:pPr>
            <w:r w:rsidRPr="004C595B">
              <w:rPr>
                <w:szCs w:val="24"/>
              </w:rPr>
              <w:t>(2) The Contractor will be excluded from competition for, or award of any using agency contract for which the contractor actually assists in the development of the specifications or statements of work.</w:t>
            </w:r>
          </w:p>
          <w:p w14:paraId="61F4CD16" w14:textId="77777777" w:rsidR="004C595B" w:rsidRPr="004C595B" w:rsidRDefault="004C595B" w:rsidP="004C595B">
            <w:pPr>
              <w:rPr>
                <w:szCs w:val="24"/>
              </w:rPr>
            </w:pPr>
            <w:r w:rsidRPr="004C595B">
              <w:rPr>
                <w:szCs w:val="24"/>
              </w:rPr>
              <w:t>(3) The Contractor will be excluded from competition for or award of any State contract which calls for the evaluation of system requirements, system definitions, or other products supplied or developed by the Contractor under this contract.</w:t>
            </w:r>
          </w:p>
          <w:p w14:paraId="076CB4F0" w14:textId="77777777" w:rsidR="004C595B" w:rsidRPr="004C595B" w:rsidRDefault="004C595B" w:rsidP="004C595B">
            <w:pPr>
              <w:rPr>
                <w:szCs w:val="24"/>
              </w:rPr>
            </w:pPr>
            <w:r w:rsidRPr="004C595B">
              <w:rPr>
                <w:szCs w:val="24"/>
              </w:rPr>
              <w:t>(4) The Contractor will be excluded from competition for, or award of any government contract which calls for the construction or fabrication of any system, equipment, hardware, and/or software for which the Contractor participated in the development of requirements or definitions pursuant to this contract.</w:t>
            </w:r>
          </w:p>
          <w:p w14:paraId="70661CE6" w14:textId="77777777" w:rsidR="004C595B" w:rsidRPr="004C595B" w:rsidRDefault="004C595B" w:rsidP="004C595B">
            <w:pPr>
              <w:rPr>
                <w:szCs w:val="24"/>
              </w:rPr>
            </w:pPr>
            <w:r w:rsidRPr="004C595B">
              <w:rPr>
                <w:szCs w:val="24"/>
                <w:lang w:bidi="en-US"/>
              </w:rPr>
              <w:t xml:space="preserve">(d) </w:t>
            </w:r>
            <w:r w:rsidRPr="004C595B">
              <w:rPr>
                <w:szCs w:val="24"/>
              </w:rPr>
              <w:t xml:space="preserve">This clause will not exclude the Contractor from performing work under any amendment or modification to this contract or from competing for award for any future contract for work that is the same or similar to work performed under this contract. </w:t>
            </w:r>
          </w:p>
          <w:p w14:paraId="186F88DC" w14:textId="77777777" w:rsidR="004C595B" w:rsidRPr="004C595B" w:rsidRDefault="004C595B" w:rsidP="004C595B">
            <w:pPr>
              <w:rPr>
                <w:szCs w:val="24"/>
              </w:rPr>
            </w:pPr>
            <w:r w:rsidRPr="004C595B">
              <w:rPr>
                <w:szCs w:val="24"/>
              </w:rPr>
              <w:t xml:space="preserve">(d) The term “contractor” as used in this clause, includes any person, firm or corporation which has a majority or controlling interest in the contractor or in any parent corporation thereof, any person, firm, or corporation in or as to which the contractor (or any parent or subsidiary corporation thereof) has a majority or controlling interest. The term also includes the corporate officers of the contractor, those of any corporation that has a majority or controlling interest in the contractor, and those of any corporation in which the contractor (or any parent or subsidiary corporation thereof) has a majority or controlling interest. </w:t>
            </w:r>
          </w:p>
          <w:p w14:paraId="09E22994" w14:textId="77777777" w:rsidR="004C595B" w:rsidRPr="004C595B" w:rsidRDefault="004C595B" w:rsidP="004C595B">
            <w:pPr>
              <w:rPr>
                <w:szCs w:val="24"/>
              </w:rPr>
            </w:pPr>
            <w:r w:rsidRPr="004C595B">
              <w:rPr>
                <w:szCs w:val="24"/>
              </w:rPr>
              <w:t>(e) The agency may in its sole discretion, waive any provisions of this clause if deemed in the State’s interest</w:t>
            </w:r>
            <w:r w:rsidRPr="004C595B">
              <w:rPr>
                <w:szCs w:val="24"/>
                <w:lang w:bidi="en-US"/>
              </w:rPr>
              <w:t>, in accordance with Reg. 19-445.2127F.</w:t>
            </w:r>
            <w:r w:rsidRPr="004C595B">
              <w:rPr>
                <w:szCs w:val="24"/>
              </w:rPr>
              <w:t xml:space="preserve"> The exclusions contained in this clause will apply for the duration of this contract and for three (3) years after completion and acceptance of all work performed hereunder. </w:t>
            </w:r>
          </w:p>
          <w:p w14:paraId="465CD3F0" w14:textId="4461DB72" w:rsidR="008034EC" w:rsidRDefault="004C595B" w:rsidP="004C595B">
            <w:pPr>
              <w:rPr>
                <w:szCs w:val="24"/>
              </w:rPr>
            </w:pPr>
            <w:r w:rsidRPr="004C595B">
              <w:rPr>
                <w:szCs w:val="24"/>
              </w:rPr>
              <w:t>(f) If any provision of this clause excludes the Contractor from competition for, or award of any contract, the Contractor will not be permitted to serve as a subcontractor, at any tier, on such contract.</w:t>
            </w:r>
          </w:p>
        </w:tc>
        <w:tc>
          <w:tcPr>
            <w:tcW w:w="5334" w:type="dxa"/>
            <w:tcBorders>
              <w:left w:val="single" w:sz="4" w:space="0" w:color="auto"/>
            </w:tcBorders>
          </w:tcPr>
          <w:p w14:paraId="723B7F38" w14:textId="16509EC6" w:rsidR="008034EC" w:rsidRDefault="003B473D" w:rsidP="00A05B05">
            <w:pPr>
              <w:rPr>
                <w:szCs w:val="24"/>
              </w:rPr>
            </w:pPr>
            <w:r w:rsidRPr="003B473D">
              <w:rPr>
                <w:szCs w:val="24"/>
              </w:rPr>
              <w:lastRenderedPageBreak/>
              <w:t>This clause should be used where the Procurement Officer has determined that an OCI described in Reg. 19-445.2127B, C, or D exists and that the regulation requires restraint on the awarded contractor’s eligibility for future contracts</w:t>
            </w:r>
            <w:r>
              <w:rPr>
                <w:szCs w:val="24"/>
              </w:rPr>
              <w:t>.</w:t>
            </w:r>
            <w:r w:rsidR="00636BAF">
              <w:rPr>
                <w:szCs w:val="24"/>
              </w:rPr>
              <w:t xml:space="preserve"> It should appear in Part 7B (Terms and Conditions – Special) of the solicitation. Make sure you include an appropriate description of the nature of the conflict.</w:t>
            </w:r>
          </w:p>
        </w:tc>
      </w:tr>
      <w:tr w:rsidR="008034EC" w14:paraId="4D0022B7" w14:textId="77777777" w:rsidTr="00812F19">
        <w:trPr>
          <w:cnfStyle w:val="000000100000" w:firstRow="0" w:lastRow="0" w:firstColumn="0" w:lastColumn="0" w:oddVBand="0" w:evenVBand="0" w:oddHBand="1" w:evenHBand="0" w:firstRowFirstColumn="0" w:firstRowLastColumn="0" w:lastRowFirstColumn="0" w:lastRowLastColumn="0"/>
        </w:trPr>
        <w:tc>
          <w:tcPr>
            <w:tcW w:w="1231" w:type="dxa"/>
            <w:tcBorders>
              <w:right w:val="none" w:sz="0" w:space="0" w:color="auto"/>
            </w:tcBorders>
          </w:tcPr>
          <w:p w14:paraId="3B66E897" w14:textId="2FD2B413" w:rsidR="008034EC" w:rsidRDefault="004C595B" w:rsidP="00A05B05">
            <w:pPr>
              <w:rPr>
                <w:szCs w:val="24"/>
              </w:rPr>
            </w:pPr>
            <w:r>
              <w:rPr>
                <w:szCs w:val="24"/>
              </w:rPr>
              <w:t>7BXXX</w:t>
            </w:r>
          </w:p>
        </w:tc>
        <w:tc>
          <w:tcPr>
            <w:tcW w:w="7815" w:type="dxa"/>
            <w:tcBorders>
              <w:left w:val="none" w:sz="0" w:space="0" w:color="auto"/>
              <w:right w:val="none" w:sz="0" w:space="0" w:color="auto"/>
            </w:tcBorders>
            <w:noWrap/>
          </w:tcPr>
          <w:p w14:paraId="7D1A3407" w14:textId="77777777" w:rsidR="004C595B" w:rsidRPr="004C595B" w:rsidRDefault="004C595B" w:rsidP="004C595B">
            <w:pPr>
              <w:rPr>
                <w:b/>
                <w:bCs/>
                <w:szCs w:val="24"/>
                <w:lang w:bidi="en-US"/>
              </w:rPr>
            </w:pPr>
            <w:bookmarkStart w:id="6" w:name="_Hlk80871720"/>
            <w:bookmarkStart w:id="7" w:name="Mitigation_of_OCI"/>
            <w:r w:rsidRPr="004C595B">
              <w:rPr>
                <w:b/>
                <w:bCs/>
                <w:szCs w:val="24"/>
                <w:lang w:bidi="en-US"/>
              </w:rPr>
              <w:t>MITIGATION OF ORGANIZATIONAL CONFLICTS OF INTEREST</w:t>
            </w:r>
            <w:bookmarkEnd w:id="6"/>
            <w:bookmarkEnd w:id="7"/>
          </w:p>
          <w:p w14:paraId="625BE8A2" w14:textId="77777777" w:rsidR="004C595B" w:rsidRPr="004C595B" w:rsidRDefault="004C595B" w:rsidP="004C595B">
            <w:pPr>
              <w:rPr>
                <w:szCs w:val="24"/>
                <w:lang w:bidi="en-US"/>
              </w:rPr>
            </w:pPr>
            <w:r w:rsidRPr="004C595B">
              <w:rPr>
                <w:szCs w:val="24"/>
                <w:lang w:bidi="en-US"/>
              </w:rPr>
              <w:t>(a) Mitigation plan. The Organizational Conflict of Interest Mitigation Plan and its obligations are hereby incorporated in the contract by reference.</w:t>
            </w:r>
          </w:p>
          <w:p w14:paraId="7AF8781F" w14:textId="77777777" w:rsidR="004C595B" w:rsidRPr="004C595B" w:rsidRDefault="004C595B" w:rsidP="004C595B">
            <w:pPr>
              <w:rPr>
                <w:szCs w:val="24"/>
                <w:lang w:bidi="en-US"/>
              </w:rPr>
            </w:pPr>
            <w:r w:rsidRPr="004C595B">
              <w:rPr>
                <w:szCs w:val="24"/>
                <w:lang w:bidi="en-US"/>
              </w:rPr>
              <w:t xml:space="preserve">(b) Changes. (1) Either the Contractor or the State may propose changes to the Organizational Conflict of Interest Mitigation Plan. Such changes are subject to the mutual agreement of the parties and will become effective only upon incorporating the change into the plan by contract amendment. (2) In the event that the State and the </w:t>
            </w:r>
            <w:r w:rsidRPr="004C595B">
              <w:rPr>
                <w:szCs w:val="24"/>
                <w:lang w:bidi="en-US"/>
              </w:rPr>
              <w:lastRenderedPageBreak/>
              <w:t>Contractor cannot agree upon a mutually acceptable change, the State reserves the right to make a unilateral change to the OCI Plan as necessary, subject to Contractor appeal as provided in the Disputes clause.</w:t>
            </w:r>
          </w:p>
          <w:p w14:paraId="29254555" w14:textId="77777777" w:rsidR="004C595B" w:rsidRPr="004C595B" w:rsidRDefault="004C595B" w:rsidP="004C595B">
            <w:pPr>
              <w:rPr>
                <w:szCs w:val="24"/>
                <w:lang w:bidi="en-US"/>
              </w:rPr>
            </w:pPr>
            <w:r w:rsidRPr="004C595B">
              <w:rPr>
                <w:szCs w:val="24"/>
                <w:lang w:bidi="en-US"/>
              </w:rPr>
              <w:t>(c) Violation. The Contractor shall report any violation of the Organizational Conflict of Interest Mitigation Plan, whether by its own personnel or those of the State or other contractors, to the Procurement Officer.  This report shall include a description of the violation and the actions the Contractor has taken or proposes to take to mitigate and avoid repetition of the violation. After conducting such further inquiries and discussions as may be necessary, the Procurement Officer and the Contractor shall agree on appropriate corrective action, if any, or the Procurement Officer shall direct corrective action.</w:t>
            </w:r>
          </w:p>
          <w:p w14:paraId="15E1A253" w14:textId="77777777" w:rsidR="004C595B" w:rsidRPr="004C595B" w:rsidRDefault="004C595B" w:rsidP="004C595B">
            <w:pPr>
              <w:rPr>
                <w:szCs w:val="24"/>
                <w:lang w:bidi="en-US"/>
              </w:rPr>
            </w:pPr>
            <w:r w:rsidRPr="004C595B">
              <w:rPr>
                <w:szCs w:val="24"/>
                <w:lang w:bidi="en-US"/>
              </w:rPr>
              <w:t>(d) Breach. Any breach of the above restrictions or any nondisclosure or misrepresentation of any relevant facts required regarding organizational conflicts of interests to be disclosed may result in termination of this contract for default or other remedies as may be available under law or regulation.</w:t>
            </w:r>
          </w:p>
          <w:p w14:paraId="75F5B4FB" w14:textId="0C1D18D5" w:rsidR="008034EC" w:rsidRDefault="004C595B" w:rsidP="004C595B">
            <w:pPr>
              <w:rPr>
                <w:szCs w:val="24"/>
              </w:rPr>
            </w:pPr>
            <w:r w:rsidRPr="004C595B">
              <w:rPr>
                <w:szCs w:val="24"/>
                <w:lang w:bidi="en-US"/>
              </w:rPr>
              <w:t>(e) Subcontracts. The Contractor shall include the substance of this clause, including this paragraph (e), in subcontracts where the work includes or may include tasks related to the organizational conflict of interest.   The terms “Contractor” and “Procurement Officer” shall be appropriately modified to reflect the change in parties and to preserve the State’s rights.</w:t>
            </w:r>
          </w:p>
        </w:tc>
        <w:tc>
          <w:tcPr>
            <w:tcW w:w="5334" w:type="dxa"/>
            <w:tcBorders>
              <w:left w:val="none" w:sz="0" w:space="0" w:color="auto"/>
            </w:tcBorders>
          </w:tcPr>
          <w:p w14:paraId="6E2CF000" w14:textId="34CE5075" w:rsidR="008034EC" w:rsidRDefault="003B473D" w:rsidP="00A05B05">
            <w:pPr>
              <w:rPr>
                <w:szCs w:val="24"/>
              </w:rPr>
            </w:pPr>
            <w:r w:rsidRPr="003B473D">
              <w:rPr>
                <w:szCs w:val="24"/>
              </w:rPr>
              <w:lastRenderedPageBreak/>
              <w:t xml:space="preserve">This clause </w:t>
            </w:r>
            <w:r>
              <w:rPr>
                <w:szCs w:val="24"/>
              </w:rPr>
              <w:t xml:space="preserve">incorporates the terms of a negotiated mitigation plan into the contract. It </w:t>
            </w:r>
            <w:r w:rsidRPr="003B473D">
              <w:rPr>
                <w:szCs w:val="24"/>
              </w:rPr>
              <w:t>should only be used in contracts where a potential OCI has been identified prior to award and an OCI mitigation plan is involved in the resolution of the OCI.</w:t>
            </w:r>
            <w:r w:rsidR="00636BAF">
              <w:rPr>
                <w:szCs w:val="24"/>
              </w:rPr>
              <w:t xml:space="preserve"> The clause should appear in Part 7B (Terms and Conditions – Special) of the solicitation.</w:t>
            </w:r>
          </w:p>
        </w:tc>
      </w:tr>
    </w:tbl>
    <w:p w14:paraId="4866C6E9" w14:textId="77777777" w:rsidR="00656C70" w:rsidRPr="00F51A22" w:rsidRDefault="00656C70" w:rsidP="004C595B"/>
    <w:sectPr w:rsidR="00656C70" w:rsidRPr="00F51A22" w:rsidSect="004C595B">
      <w:endnotePr>
        <w:numFmt w:val="decimal"/>
        <w:numRestart w:val="eachSect"/>
      </w:endnotePr>
      <w:pgSz w:w="15840" w:h="12240" w:orient="landscape" w:code="1"/>
      <w:pgMar w:top="1080" w:right="720" w:bottom="1080" w:left="720" w:header="720" w:footer="432"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B07D7" w14:textId="77777777" w:rsidR="00112803" w:rsidRDefault="00112803">
      <w:r>
        <w:separator/>
      </w:r>
    </w:p>
  </w:endnote>
  <w:endnote w:type="continuationSeparator" w:id="0">
    <w:p w14:paraId="71839444" w14:textId="77777777" w:rsidR="00112803" w:rsidRDefault="0011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uropean-Sans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96A74" w14:textId="77777777" w:rsidR="00112803" w:rsidRDefault="00112803">
      <w:r>
        <w:separator/>
      </w:r>
    </w:p>
  </w:footnote>
  <w:footnote w:type="continuationSeparator" w:id="0">
    <w:p w14:paraId="00C8ED54" w14:textId="77777777" w:rsidR="00112803" w:rsidRDefault="00112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0640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BA85A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84CB3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E20B8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78C6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274FB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56EA2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1AD5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91668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90B5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upperRoman"/>
      <w:lvlText w:val="%1."/>
      <w:lvlJc w:val="left"/>
      <w:pPr>
        <w:tabs>
          <w:tab w:val="num" w:pos="720"/>
        </w:tabs>
        <w:ind w:left="720" w:hanging="720"/>
      </w:pPr>
      <w:rPr>
        <w:rFonts w:ascii="European-SansSerif" w:hAnsi="European-SansSerif"/>
        <w:b/>
        <w:sz w:val="24"/>
      </w:rPr>
    </w:lvl>
    <w:lvl w:ilvl="1">
      <w:start w:val="1"/>
      <w:numFmt w:val="upperLetter"/>
      <w:pStyle w:val="Legal2"/>
      <w:lvlText w:val="%2."/>
      <w:lvlJc w:val="left"/>
      <w:pPr>
        <w:tabs>
          <w:tab w:val="num" w:pos="1440"/>
        </w:tabs>
        <w:ind w:left="1440" w:hanging="720"/>
      </w:pPr>
    </w:lvl>
    <w:lvl w:ilvl="2">
      <w:start w:val="1"/>
      <w:numFmt w:val="decimal"/>
      <w:pStyle w:val="Legal3"/>
      <w:lvlText w:val="%3."/>
      <w:lvlJc w:val="left"/>
      <w:pPr>
        <w:tabs>
          <w:tab w:val="num" w:pos="2160"/>
        </w:tabs>
        <w:ind w:left="2160" w:hanging="720"/>
      </w:pPr>
    </w:lvl>
    <w:lvl w:ilvl="3">
      <w:start w:val="1"/>
      <w:numFmt w:val="lowerLetter"/>
      <w:pStyle w:val="Legal4"/>
      <w:lvlText w:val="%4."/>
      <w:lvlJc w:val="left"/>
      <w:pPr>
        <w:tabs>
          <w:tab w:val="num" w:pos="2880"/>
        </w:tabs>
        <w:ind w:left="2880" w:hanging="720"/>
      </w:pPr>
    </w:lvl>
    <w:lvl w:ilvl="4">
      <w:start w:val="1"/>
      <w:numFmt w:val="decimal"/>
      <w:pStyle w:val="Legal5"/>
      <w:lvlText w:val="(%5)"/>
      <w:lvlJc w:val="left"/>
      <w:pPr>
        <w:tabs>
          <w:tab w:val="num" w:pos="3600"/>
        </w:tabs>
        <w:ind w:left="3600" w:hanging="720"/>
      </w:pPr>
    </w:lvl>
    <w:lvl w:ilvl="5">
      <w:start w:val="1"/>
      <w:numFmt w:val="lowerLetter"/>
      <w:pStyle w:val="Legal6"/>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1" w15:restartNumberingAfterBreak="0">
    <w:nsid w:val="002E0964"/>
    <w:multiLevelType w:val="hybridMultilevel"/>
    <w:tmpl w:val="D068E4D4"/>
    <w:lvl w:ilvl="0" w:tplc="04090001">
      <w:start w:val="1"/>
      <w:numFmt w:val="bullet"/>
      <w:lvlText w:val=""/>
      <w:lvlJc w:val="left"/>
      <w:pPr>
        <w:ind w:left="1170" w:hanging="720"/>
      </w:pPr>
      <w:rPr>
        <w:rFonts w:ascii="Symbol" w:hAnsi="Symbol" w:hint="default"/>
      </w:rPr>
    </w:lvl>
    <w:lvl w:ilvl="1" w:tplc="958C8BFA">
      <w:start w:val="1"/>
      <w:numFmt w:val="decimal"/>
      <w:lvlText w:val="(%2)"/>
      <w:lvlJc w:val="left"/>
      <w:pPr>
        <w:ind w:left="1170" w:hanging="360"/>
      </w:pPr>
      <w:rPr>
        <w:rFonts w:ascii="Arial" w:eastAsiaTheme="minorHAnsi" w:hAnsi="Arial" w:cstheme="minorBidi"/>
      </w:rPr>
    </w:lvl>
    <w:lvl w:ilvl="2" w:tplc="4A16C3F6">
      <w:start w:val="1"/>
      <w:numFmt w:val="upperLetter"/>
      <w:lvlText w:val="%3."/>
      <w:lvlJc w:val="left"/>
      <w:pPr>
        <w:ind w:left="2430" w:hanging="720"/>
      </w:pPr>
      <w:rPr>
        <w:rFonts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00AA23CC"/>
    <w:multiLevelType w:val="multilevel"/>
    <w:tmpl w:val="B658D14C"/>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2B515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C681A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EFD3BF5"/>
    <w:multiLevelType w:val="multilevel"/>
    <w:tmpl w:val="35C072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D160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DA87858"/>
    <w:multiLevelType w:val="hybridMultilevel"/>
    <w:tmpl w:val="0FAA3454"/>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8" w15:restartNumberingAfterBreak="0">
    <w:nsid w:val="1EE5658E"/>
    <w:multiLevelType w:val="hybridMultilevel"/>
    <w:tmpl w:val="A5E49A52"/>
    <w:lvl w:ilvl="0" w:tplc="66B2326C">
      <w:start w:val="1"/>
      <w:numFmt w:val="lowerLetter"/>
      <w:lvlText w:val="(%1)"/>
      <w:lvlJc w:val="left"/>
      <w:pPr>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pStyle w:val="Heading4"/>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253F0BE2"/>
    <w:multiLevelType w:val="multilevel"/>
    <w:tmpl w:val="2E361284"/>
    <w:styleLink w:val="MerchantCardAgmtNos"/>
    <w:lvl w:ilvl="0">
      <w:start w:val="1"/>
      <w:numFmt w:val="decimal"/>
      <w:suff w:val="space"/>
      <w:lvlText w:val="%1."/>
      <w:lvlJc w:val="left"/>
      <w:pPr>
        <w:ind w:left="360" w:hanging="360"/>
      </w:pPr>
      <w:rPr>
        <w:rFonts w:ascii="Times New Roman" w:hAnsi="Times New Roman" w:hint="default"/>
        <w:b/>
        <w:i w:val="0"/>
        <w:caps w:val="0"/>
        <w:strike w:val="0"/>
        <w:dstrike w:val="0"/>
        <w:vanish w:val="0"/>
        <w:color w:val="auto"/>
        <w:kern w:val="0"/>
        <w:sz w:val="24"/>
        <w:vertAlign w:val="baseline"/>
        <w14:cntxtAlts w14:val="0"/>
      </w:rPr>
    </w:lvl>
    <w:lvl w:ilvl="1">
      <w:start w:val="1"/>
      <w:numFmt w:val="decimal"/>
      <w:suff w:val="space"/>
      <w:lvlText w:val="%1.%2"/>
      <w:lvlJc w:val="left"/>
      <w:pPr>
        <w:ind w:left="720" w:hanging="360"/>
      </w:pPr>
      <w:rPr>
        <w:rFonts w:ascii="Times New Roman" w:hAnsi="Times New Roman" w:hint="default"/>
        <w:b w:val="0"/>
        <w:i w:val="0"/>
        <w:caps w:val="0"/>
        <w:strike w:val="0"/>
        <w:dstrike w:val="0"/>
        <w:vanish w:val="0"/>
        <w:color w:val="auto"/>
        <w:sz w:val="24"/>
        <w:vertAlign w:val="baseline"/>
      </w:rPr>
    </w:lvl>
    <w:lvl w:ilvl="2">
      <w:start w:val="1"/>
      <w:numFmt w:val="lowerRoman"/>
      <w:suff w:val="space"/>
      <w:lvlText w:val="(%3)"/>
      <w:lvlJc w:val="left"/>
      <w:pPr>
        <w:ind w:left="1080" w:hanging="360"/>
      </w:pPr>
      <w:rPr>
        <w:rFonts w:ascii="Times New Roman" w:hAnsi="Times New Roman" w:hint="default"/>
        <w:b w:val="0"/>
        <w:i w:val="0"/>
        <w:caps w:val="0"/>
        <w:strike w:val="0"/>
        <w:dstrike w:val="0"/>
        <w:vanish w:val="0"/>
        <w:color w:val="auto"/>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5444D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65377C4"/>
    <w:multiLevelType w:val="hybridMultilevel"/>
    <w:tmpl w:val="B420C468"/>
    <w:lvl w:ilvl="0" w:tplc="FFFFFFFF">
      <w:start w:val="1"/>
      <w:numFmt w:val="lowerRoman"/>
      <w:lvlText w:val="%1."/>
      <w:lvlJc w:val="right"/>
      <w:pPr>
        <w:tabs>
          <w:tab w:val="num" w:pos="1440"/>
        </w:tabs>
        <w:ind w:left="0" w:firstLine="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085C33"/>
    <w:multiLevelType w:val="multilevel"/>
    <w:tmpl w:val="5B0EBF44"/>
    <w:lvl w:ilvl="0">
      <w:start w:val="1"/>
      <w:numFmt w:val="decimal"/>
      <w:suff w:val="space"/>
      <w:lvlText w:val="%1."/>
      <w:lvlJc w:val="left"/>
      <w:pPr>
        <w:ind w:left="0" w:firstLine="360"/>
      </w:pPr>
      <w:rPr>
        <w:rFonts w:hint="default"/>
      </w:rPr>
    </w:lvl>
    <w:lvl w:ilvl="1">
      <w:start w:val="1"/>
      <w:numFmt w:val="lowerLetter"/>
      <w:suff w:val="space"/>
      <w:lvlText w:val="%2."/>
      <w:lvlJc w:val="left"/>
      <w:pPr>
        <w:ind w:left="1296" w:hanging="576"/>
      </w:pPr>
      <w:rPr>
        <w:rFonts w:hint="default"/>
      </w:rPr>
    </w:lvl>
    <w:lvl w:ilvl="2">
      <w:start w:val="1"/>
      <w:numFmt w:val="lowerRoman"/>
      <w:suff w:val="space"/>
      <w:lvlText w:val="%3."/>
      <w:lvlJc w:val="right"/>
      <w:pPr>
        <w:ind w:left="1512" w:hanging="72"/>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3CB35EA"/>
    <w:multiLevelType w:val="hybridMultilevel"/>
    <w:tmpl w:val="86A26FD4"/>
    <w:lvl w:ilvl="0" w:tplc="66B2326C">
      <w:start w:val="1"/>
      <w:numFmt w:val="lowerLetter"/>
      <w:lvlText w:val="(%1)"/>
      <w:lvlJc w:val="left"/>
      <w:pPr>
        <w:ind w:left="720" w:hanging="720"/>
      </w:pPr>
      <w:rPr>
        <w:rFonts w:hint="default"/>
      </w:rPr>
    </w:lvl>
    <w:lvl w:ilvl="1" w:tplc="958C8BFA">
      <w:start w:val="1"/>
      <w:numFmt w:val="decimal"/>
      <w:lvlText w:val="(%2)"/>
      <w:lvlJc w:val="left"/>
      <w:pPr>
        <w:ind w:left="720" w:hanging="360"/>
      </w:pPr>
      <w:rPr>
        <w:rFonts w:ascii="Arial" w:eastAsiaTheme="minorHAnsi" w:hAnsi="Arial" w:cstheme="minorBidi"/>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346C54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6977C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7E92632"/>
    <w:multiLevelType w:val="hybridMultilevel"/>
    <w:tmpl w:val="FE362240"/>
    <w:lvl w:ilvl="0" w:tplc="B6B2568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F206E5F"/>
    <w:multiLevelType w:val="singleLevel"/>
    <w:tmpl w:val="0A8E316C"/>
    <w:lvl w:ilvl="0">
      <w:start w:val="1"/>
      <w:numFmt w:val="lowerLetter"/>
      <w:lvlText w:val="(%1)"/>
      <w:lvlJc w:val="left"/>
      <w:pPr>
        <w:tabs>
          <w:tab w:val="num" w:pos="1080"/>
        </w:tabs>
        <w:ind w:left="1080" w:hanging="360"/>
      </w:pPr>
      <w:rPr>
        <w:rFonts w:hint="default"/>
      </w:rPr>
    </w:lvl>
  </w:abstractNum>
  <w:abstractNum w:abstractNumId="28" w15:restartNumberingAfterBreak="0">
    <w:nsid w:val="3FA7351C"/>
    <w:multiLevelType w:val="multilevel"/>
    <w:tmpl w:val="77CC2C1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5B0A4D02"/>
    <w:multiLevelType w:val="multilevel"/>
    <w:tmpl w:val="BD80535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pStyle w:val="Heading61"/>
      <w:lvlText w:val="(%6)"/>
      <w:lvlJc w:val="left"/>
      <w:pPr>
        <w:ind w:left="3600" w:firstLine="0"/>
      </w:pPr>
    </w:lvl>
    <w:lvl w:ilvl="6">
      <w:start w:val="1"/>
      <w:numFmt w:val="lowerRoman"/>
      <w:pStyle w:val="Heading71"/>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5B1F6A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B6F0407"/>
    <w:multiLevelType w:val="hybridMultilevel"/>
    <w:tmpl w:val="FE824E70"/>
    <w:lvl w:ilvl="0" w:tplc="EC76EF24">
      <w:start w:val="1"/>
      <w:numFmt w:val="decimal"/>
      <w:lvlText w:val="%1."/>
      <w:lvlJc w:val="left"/>
      <w:pPr>
        <w:ind w:left="720" w:hanging="360"/>
      </w:pPr>
    </w:lvl>
    <w:lvl w:ilvl="1" w:tplc="F5CC4FB4">
      <w:start w:val="1"/>
      <w:numFmt w:val="lowerLetter"/>
      <w:lvlText w:val="%2."/>
      <w:lvlJc w:val="left"/>
      <w:pPr>
        <w:tabs>
          <w:tab w:val="num" w:pos="1080"/>
        </w:tabs>
        <w:ind w:left="0" w:firstLine="720"/>
      </w:pPr>
      <w:rPr>
        <w:rFonts w:hint="default"/>
      </w:rPr>
    </w:lvl>
    <w:lvl w:ilvl="2" w:tplc="31E4464C">
      <w:start w:val="1"/>
      <w:numFmt w:val="lowerRoman"/>
      <w:lvlText w:val="%3."/>
      <w:lvlJc w:val="right"/>
      <w:pPr>
        <w:tabs>
          <w:tab w:val="num" w:pos="1440"/>
        </w:tabs>
        <w:ind w:left="0" w:firstLine="1080"/>
      </w:pPr>
      <w:rPr>
        <w:rFonts w:hint="default"/>
      </w:rPr>
    </w:lvl>
    <w:lvl w:ilvl="3" w:tplc="431CE754" w:tentative="1">
      <w:start w:val="1"/>
      <w:numFmt w:val="decimal"/>
      <w:lvlText w:val="%4."/>
      <w:lvlJc w:val="left"/>
      <w:pPr>
        <w:ind w:left="2880" w:hanging="360"/>
      </w:pPr>
    </w:lvl>
    <w:lvl w:ilvl="4" w:tplc="3B84ADB4" w:tentative="1">
      <w:start w:val="1"/>
      <w:numFmt w:val="lowerLetter"/>
      <w:lvlText w:val="%5."/>
      <w:lvlJc w:val="left"/>
      <w:pPr>
        <w:ind w:left="3600" w:hanging="360"/>
      </w:pPr>
    </w:lvl>
    <w:lvl w:ilvl="5" w:tplc="3CA621F2" w:tentative="1">
      <w:start w:val="1"/>
      <w:numFmt w:val="lowerRoman"/>
      <w:lvlText w:val="%6."/>
      <w:lvlJc w:val="right"/>
      <w:pPr>
        <w:ind w:left="4320" w:hanging="180"/>
      </w:pPr>
    </w:lvl>
    <w:lvl w:ilvl="6" w:tplc="C89ED8C4">
      <w:start w:val="1"/>
      <w:numFmt w:val="decimal"/>
      <w:lvlText w:val="%7."/>
      <w:lvlJc w:val="left"/>
      <w:pPr>
        <w:tabs>
          <w:tab w:val="num" w:pos="720"/>
        </w:tabs>
        <w:ind w:left="0" w:firstLine="360"/>
      </w:pPr>
      <w:rPr>
        <w:rFonts w:hint="default"/>
      </w:rPr>
    </w:lvl>
    <w:lvl w:ilvl="7" w:tplc="6B8EA1A6">
      <w:start w:val="1"/>
      <w:numFmt w:val="lowerLetter"/>
      <w:lvlText w:val="%8."/>
      <w:lvlJc w:val="left"/>
      <w:pPr>
        <w:tabs>
          <w:tab w:val="num" w:pos="1080"/>
        </w:tabs>
        <w:ind w:left="0" w:firstLine="720"/>
      </w:pPr>
      <w:rPr>
        <w:rFonts w:hint="default"/>
      </w:rPr>
    </w:lvl>
    <w:lvl w:ilvl="8" w:tplc="CF2A0D30" w:tentative="1">
      <w:start w:val="1"/>
      <w:numFmt w:val="lowerRoman"/>
      <w:lvlText w:val="%9."/>
      <w:lvlJc w:val="right"/>
      <w:pPr>
        <w:ind w:left="6480" w:hanging="180"/>
      </w:pPr>
    </w:lvl>
  </w:abstractNum>
  <w:abstractNum w:abstractNumId="32" w15:restartNumberingAfterBreak="0">
    <w:nsid w:val="5C1424D9"/>
    <w:multiLevelType w:val="multilevel"/>
    <w:tmpl w:val="389AE7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righ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decimal"/>
      <w:lvlText w:val="%9."/>
      <w:lvlJc w:val="right"/>
      <w:pPr>
        <w:ind w:left="3240" w:hanging="360"/>
      </w:pPr>
      <w:rPr>
        <w:rFonts w:hint="default"/>
      </w:rPr>
    </w:lvl>
  </w:abstractNum>
  <w:abstractNum w:abstractNumId="33" w15:restartNumberingAfterBreak="0">
    <w:nsid w:val="5D56740F"/>
    <w:multiLevelType w:val="hybridMultilevel"/>
    <w:tmpl w:val="574EE52A"/>
    <w:lvl w:ilvl="0" w:tplc="0409000F">
      <w:start w:val="1"/>
      <w:numFmt w:val="bullet"/>
      <w:lvlText w:val=""/>
      <w:lvlJc w:val="left"/>
      <w:pPr>
        <w:tabs>
          <w:tab w:val="num" w:pos="720"/>
        </w:tabs>
        <w:ind w:left="720" w:hanging="360"/>
      </w:pPr>
      <w:rPr>
        <w:rFonts w:ascii="Symbol" w:hAnsi="Symbol" w:hint="default"/>
      </w:rPr>
    </w:lvl>
    <w:lvl w:ilvl="1" w:tplc="2F764910" w:tentative="1">
      <w:start w:val="1"/>
      <w:numFmt w:val="bullet"/>
      <w:lvlText w:val="o"/>
      <w:lvlJc w:val="left"/>
      <w:pPr>
        <w:tabs>
          <w:tab w:val="num" w:pos="1440"/>
        </w:tabs>
        <w:ind w:left="1440" w:hanging="360"/>
      </w:pPr>
      <w:rPr>
        <w:rFonts w:ascii="Courier New" w:hAnsi="Courier New" w:cs="Courier New" w:hint="default"/>
      </w:rPr>
    </w:lvl>
    <w:lvl w:ilvl="2" w:tplc="86B4356E"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20583E30" w:tentative="1">
      <w:start w:val="1"/>
      <w:numFmt w:val="bullet"/>
      <w:lvlText w:val=""/>
      <w:lvlJc w:val="left"/>
      <w:pPr>
        <w:tabs>
          <w:tab w:val="num" w:pos="5040"/>
        </w:tabs>
        <w:ind w:left="5040" w:hanging="360"/>
      </w:pPr>
      <w:rPr>
        <w:rFonts w:ascii="Symbol" w:hAnsi="Symbol" w:hint="default"/>
      </w:rPr>
    </w:lvl>
    <w:lvl w:ilvl="7" w:tplc="9B9C2314"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1825A3"/>
    <w:multiLevelType w:val="multilevel"/>
    <w:tmpl w:val="48C06B8A"/>
    <w:styleLink w:val="FARList"/>
    <w:lvl w:ilvl="0">
      <w:start w:val="1"/>
      <w:numFmt w:val="lowerLetter"/>
      <w:suff w:val="space"/>
      <w:lvlText w:val="(%1)"/>
      <w:lvlJc w:val="left"/>
      <w:pPr>
        <w:ind w:left="0" w:firstLine="0"/>
      </w:pPr>
      <w:rPr>
        <w:rFonts w:hint="default"/>
      </w:rPr>
    </w:lvl>
    <w:lvl w:ilvl="1">
      <w:start w:val="1"/>
      <w:numFmt w:val="decimal"/>
      <w:suff w:val="space"/>
      <w:lvlText w:val="(%2)"/>
      <w:lvlJc w:val="left"/>
      <w:pPr>
        <w:ind w:left="0" w:firstLine="360"/>
      </w:pPr>
      <w:rPr>
        <w:rFonts w:hint="default"/>
      </w:rPr>
    </w:lvl>
    <w:lvl w:ilvl="2">
      <w:start w:val="1"/>
      <w:numFmt w:val="lowerRoman"/>
      <w:suff w:val="space"/>
      <w:lvlText w:val="(%3)"/>
      <w:lvlJc w:val="left"/>
      <w:pPr>
        <w:ind w:left="0" w:firstLine="720"/>
      </w:pPr>
      <w:rPr>
        <w:rFonts w:hint="default"/>
      </w:rPr>
    </w:lvl>
    <w:lvl w:ilvl="3">
      <w:start w:val="1"/>
      <w:numFmt w:val="upperLetter"/>
      <w:suff w:val="nothing"/>
      <w:lvlText w:val="(%4)"/>
      <w:lvlJc w:val="left"/>
      <w:pPr>
        <w:ind w:left="0" w:firstLine="1080"/>
      </w:pPr>
      <w:rPr>
        <w:rFonts w:hint="default"/>
      </w:rPr>
    </w:lvl>
    <w:lvl w:ilvl="4">
      <w:start w:val="1"/>
      <w:numFmt w:val="lowerLetter"/>
      <w:lvlText w:val="(%5)"/>
      <w:lvlJc w:val="left"/>
      <w:pPr>
        <w:tabs>
          <w:tab w:val="num" w:pos="288"/>
        </w:tabs>
        <w:ind w:left="0" w:firstLine="0"/>
      </w:pPr>
      <w:rPr>
        <w:rFonts w:hint="default"/>
      </w:rPr>
    </w:lvl>
    <w:lvl w:ilvl="5">
      <w:start w:val="1"/>
      <w:numFmt w:val="lowerRoman"/>
      <w:lvlText w:val="(%6)"/>
      <w:lvlJc w:val="left"/>
      <w:pPr>
        <w:tabs>
          <w:tab w:val="num" w:pos="288"/>
        </w:tabs>
        <w:ind w:left="0" w:firstLine="0"/>
      </w:pPr>
      <w:rPr>
        <w:rFonts w:hint="default"/>
      </w:rPr>
    </w:lvl>
    <w:lvl w:ilvl="6">
      <w:start w:val="1"/>
      <w:numFmt w:val="decimal"/>
      <w:lvlText w:val="%7."/>
      <w:lvlJc w:val="left"/>
      <w:pPr>
        <w:tabs>
          <w:tab w:val="num" w:pos="288"/>
        </w:tabs>
        <w:ind w:left="0" w:firstLine="0"/>
      </w:pPr>
      <w:rPr>
        <w:rFonts w:hint="default"/>
      </w:rPr>
    </w:lvl>
    <w:lvl w:ilvl="7">
      <w:start w:val="1"/>
      <w:numFmt w:val="lowerLetter"/>
      <w:lvlText w:val="%8."/>
      <w:lvlJc w:val="left"/>
      <w:pPr>
        <w:tabs>
          <w:tab w:val="num" w:pos="288"/>
        </w:tabs>
        <w:ind w:left="0" w:firstLine="0"/>
      </w:pPr>
      <w:rPr>
        <w:rFonts w:hint="default"/>
      </w:rPr>
    </w:lvl>
    <w:lvl w:ilvl="8">
      <w:start w:val="1"/>
      <w:numFmt w:val="lowerRoman"/>
      <w:lvlText w:val="%9."/>
      <w:lvlJc w:val="left"/>
      <w:pPr>
        <w:tabs>
          <w:tab w:val="num" w:pos="288"/>
        </w:tabs>
        <w:ind w:left="0" w:firstLine="0"/>
      </w:pPr>
      <w:rPr>
        <w:rFonts w:hint="default"/>
      </w:rPr>
    </w:lvl>
  </w:abstractNum>
  <w:abstractNum w:abstractNumId="35" w15:restartNumberingAfterBreak="0">
    <w:nsid w:val="6171045E"/>
    <w:multiLevelType w:val="multilevel"/>
    <w:tmpl w:val="943EA144"/>
    <w:styleLink w:val="MSBAList"/>
    <w:lvl w:ilvl="0">
      <w:start w:val="1"/>
      <w:numFmt w:val="decimal"/>
      <w:suff w:val="space"/>
      <w:lvlText w:val="%1."/>
      <w:lvlJc w:val="left"/>
      <w:pPr>
        <w:ind w:left="0" w:firstLine="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7237FB1"/>
    <w:multiLevelType w:val="hybridMultilevel"/>
    <w:tmpl w:val="F6B2B3C4"/>
    <w:lvl w:ilvl="0" w:tplc="04090001">
      <w:start w:val="1"/>
      <w:numFmt w:val="lowerLetter"/>
      <w:lvlText w:val="(%1)"/>
      <w:lvlJc w:val="left"/>
      <w:pPr>
        <w:ind w:left="360" w:hanging="360"/>
      </w:pPr>
      <w:rPr>
        <w:rFonts w:hint="default"/>
      </w:rPr>
    </w:lvl>
    <w:lvl w:ilvl="1" w:tplc="0B6E006A"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9F11FE1"/>
    <w:multiLevelType w:val="hybridMultilevel"/>
    <w:tmpl w:val="E8F0E084"/>
    <w:lvl w:ilvl="0" w:tplc="9A60C1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831C9D"/>
    <w:multiLevelType w:val="hybridMultilevel"/>
    <w:tmpl w:val="E9086FD6"/>
    <w:lvl w:ilvl="0" w:tplc="04090001">
      <w:start w:val="1"/>
      <w:numFmt w:val="decimal"/>
      <w:lvlText w:val="%1."/>
      <w:lvlJc w:val="left"/>
      <w:pPr>
        <w:tabs>
          <w:tab w:val="num" w:pos="1440"/>
        </w:tabs>
        <w:ind w:left="1440" w:hanging="360"/>
      </w:pPr>
    </w:lvl>
    <w:lvl w:ilvl="1" w:tplc="0B6E006A"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15:restartNumberingAfterBreak="0">
    <w:nsid w:val="6EFE50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0640CA6"/>
    <w:multiLevelType w:val="hybridMultilevel"/>
    <w:tmpl w:val="C566722E"/>
    <w:lvl w:ilvl="0" w:tplc="A34AE0E4">
      <w:start w:val="1"/>
      <w:numFmt w:val="lowerLetter"/>
      <w:lvlText w:val="(%1)"/>
      <w:lvlJc w:val="left"/>
      <w:pPr>
        <w:ind w:left="720" w:hanging="720"/>
      </w:pPr>
      <w:rPr>
        <w:rFonts w:hint="default"/>
      </w:rPr>
    </w:lvl>
    <w:lvl w:ilvl="1" w:tplc="1C322946" w:tentative="1">
      <w:start w:val="1"/>
      <w:numFmt w:val="lowerLetter"/>
      <w:lvlText w:val="%2."/>
      <w:lvlJc w:val="left"/>
      <w:pPr>
        <w:ind w:left="720" w:hanging="360"/>
      </w:pPr>
    </w:lvl>
    <w:lvl w:ilvl="2" w:tplc="F0404740" w:tentative="1">
      <w:start w:val="1"/>
      <w:numFmt w:val="lowerRoman"/>
      <w:lvlText w:val="%3."/>
      <w:lvlJc w:val="right"/>
      <w:pPr>
        <w:ind w:left="1440" w:hanging="180"/>
      </w:pPr>
    </w:lvl>
    <w:lvl w:ilvl="3" w:tplc="D98EC26E" w:tentative="1">
      <w:start w:val="1"/>
      <w:numFmt w:val="decimal"/>
      <w:lvlText w:val="%4."/>
      <w:lvlJc w:val="left"/>
      <w:pPr>
        <w:ind w:left="2160" w:hanging="360"/>
      </w:pPr>
    </w:lvl>
    <w:lvl w:ilvl="4" w:tplc="7458BFD4" w:tentative="1">
      <w:start w:val="1"/>
      <w:numFmt w:val="lowerLetter"/>
      <w:lvlText w:val="%5."/>
      <w:lvlJc w:val="left"/>
      <w:pPr>
        <w:ind w:left="2880" w:hanging="360"/>
      </w:pPr>
    </w:lvl>
    <w:lvl w:ilvl="5" w:tplc="BD9CA0E2" w:tentative="1">
      <w:start w:val="1"/>
      <w:numFmt w:val="lowerRoman"/>
      <w:lvlText w:val="%6."/>
      <w:lvlJc w:val="right"/>
      <w:pPr>
        <w:ind w:left="3600" w:hanging="180"/>
      </w:pPr>
    </w:lvl>
    <w:lvl w:ilvl="6" w:tplc="87A2C0A8" w:tentative="1">
      <w:start w:val="1"/>
      <w:numFmt w:val="decimal"/>
      <w:lvlText w:val="%7."/>
      <w:lvlJc w:val="left"/>
      <w:pPr>
        <w:ind w:left="4320" w:hanging="360"/>
      </w:pPr>
    </w:lvl>
    <w:lvl w:ilvl="7" w:tplc="A4421282" w:tentative="1">
      <w:start w:val="1"/>
      <w:numFmt w:val="lowerLetter"/>
      <w:lvlText w:val="%8."/>
      <w:lvlJc w:val="left"/>
      <w:pPr>
        <w:ind w:left="5040" w:hanging="360"/>
      </w:pPr>
    </w:lvl>
    <w:lvl w:ilvl="8" w:tplc="433CA8D4" w:tentative="1">
      <w:start w:val="1"/>
      <w:numFmt w:val="lowerRoman"/>
      <w:lvlText w:val="%9."/>
      <w:lvlJc w:val="right"/>
      <w:pPr>
        <w:ind w:left="5760" w:hanging="180"/>
      </w:pPr>
    </w:lvl>
  </w:abstractNum>
  <w:abstractNum w:abstractNumId="41" w15:restartNumberingAfterBreak="0">
    <w:nsid w:val="74497270"/>
    <w:multiLevelType w:val="multilevel"/>
    <w:tmpl w:val="35C072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49F3F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59652E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46940083">
    <w:abstractNumId w:val="10"/>
    <w:lvlOverride w:ilvl="0">
      <w:startOverride w:val="1"/>
      <w:lvl w:ilvl="0">
        <w:start w:val="1"/>
        <w:numFmt w:val="decimal"/>
        <w:lvlText w:val="%1"/>
        <w:lvlJc w:val="left"/>
      </w:lvl>
    </w:lvlOverride>
    <w:lvlOverride w:ilvl="1">
      <w:startOverride w:val="1"/>
      <w:lvl w:ilvl="1">
        <w:start w:val="1"/>
        <w:numFmt w:val="decimal"/>
        <w:pStyle w:val="Legal2"/>
        <w:lvlText w:val="%1.%2"/>
        <w:lvlJc w:val="left"/>
      </w:lvl>
    </w:lvlOverride>
    <w:lvlOverride w:ilvl="2">
      <w:startOverride w:val="1"/>
      <w:lvl w:ilvl="2">
        <w:start w:val="1"/>
        <w:numFmt w:val="decimal"/>
        <w:pStyle w:val="Legal3"/>
        <w:lvlText w:val="%1.%2.%3"/>
        <w:lvlJc w:val="left"/>
      </w:lvl>
    </w:lvlOverride>
    <w:lvlOverride w:ilvl="3">
      <w:startOverride w:val="1"/>
      <w:lvl w:ilvl="3">
        <w:start w:val="1"/>
        <w:numFmt w:val="decimal"/>
        <w:pStyle w:val="Legal4"/>
        <w:lvlText w:val="%1.%2.%3.%4"/>
        <w:lvlJc w:val="left"/>
      </w:lvl>
    </w:lvlOverride>
    <w:lvlOverride w:ilvl="4">
      <w:startOverride w:val="1"/>
      <w:lvl w:ilvl="4">
        <w:start w:val="1"/>
        <w:numFmt w:val="decimal"/>
        <w:pStyle w:val="Legal5"/>
        <w:lvlText w:val="%1.%2.%3.%4.%5"/>
        <w:lvlJc w:val="left"/>
      </w:lvl>
    </w:lvlOverride>
    <w:lvlOverride w:ilvl="5">
      <w:startOverride w:val="1"/>
      <w:lvl w:ilvl="5">
        <w:start w:val="1"/>
        <w:numFmt w:val="decimal"/>
        <w:pStyle w:val="Legal6"/>
        <w:lvlText w:val="%1.%2.%3.%4.%5.%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44190923">
    <w:abstractNumId w:val="23"/>
  </w:num>
  <w:num w:numId="3" w16cid:durableId="1925147454">
    <w:abstractNumId w:val="18"/>
  </w:num>
  <w:num w:numId="4" w16cid:durableId="1932200823">
    <w:abstractNumId w:val="40"/>
  </w:num>
  <w:num w:numId="5" w16cid:durableId="1243223533">
    <w:abstractNumId w:val="36"/>
  </w:num>
  <w:num w:numId="6" w16cid:durableId="1405180410">
    <w:abstractNumId w:val="26"/>
  </w:num>
  <w:num w:numId="7" w16cid:durableId="408575397">
    <w:abstractNumId w:val="11"/>
  </w:num>
  <w:num w:numId="8" w16cid:durableId="917592479">
    <w:abstractNumId w:val="12"/>
  </w:num>
  <w:num w:numId="9" w16cid:durableId="492255560">
    <w:abstractNumId w:val="25"/>
  </w:num>
  <w:num w:numId="10" w16cid:durableId="1466122963">
    <w:abstractNumId w:val="16"/>
  </w:num>
  <w:num w:numId="11" w16cid:durableId="679233637">
    <w:abstractNumId w:val="22"/>
  </w:num>
  <w:num w:numId="12" w16cid:durableId="1026953598">
    <w:abstractNumId w:val="43"/>
  </w:num>
  <w:num w:numId="13" w16cid:durableId="757025590">
    <w:abstractNumId w:val="24"/>
  </w:num>
  <w:num w:numId="14" w16cid:durableId="1489908092">
    <w:abstractNumId w:val="39"/>
  </w:num>
  <w:num w:numId="15" w16cid:durableId="1408723735">
    <w:abstractNumId w:val="42"/>
  </w:num>
  <w:num w:numId="16" w16cid:durableId="1753038607">
    <w:abstractNumId w:val="14"/>
  </w:num>
  <w:num w:numId="17" w16cid:durableId="7756962">
    <w:abstractNumId w:val="20"/>
  </w:num>
  <w:num w:numId="18" w16cid:durableId="808746247">
    <w:abstractNumId w:val="30"/>
  </w:num>
  <w:num w:numId="19" w16cid:durableId="6835473">
    <w:abstractNumId w:val="13"/>
  </w:num>
  <w:num w:numId="20" w16cid:durableId="5668826">
    <w:abstractNumId w:val="33"/>
  </w:num>
  <w:num w:numId="21" w16cid:durableId="718896536">
    <w:abstractNumId w:val="38"/>
  </w:num>
  <w:num w:numId="22" w16cid:durableId="137429674">
    <w:abstractNumId w:val="27"/>
  </w:num>
  <w:num w:numId="23" w16cid:durableId="622231237">
    <w:abstractNumId w:val="31"/>
  </w:num>
  <w:num w:numId="24" w16cid:durableId="2015372713">
    <w:abstractNumId w:val="21"/>
  </w:num>
  <w:num w:numId="25" w16cid:durableId="1575359684">
    <w:abstractNumId w:val="15"/>
  </w:num>
  <w:num w:numId="26" w16cid:durableId="653219158">
    <w:abstractNumId w:val="37"/>
  </w:num>
  <w:num w:numId="27" w16cid:durableId="1245651651">
    <w:abstractNumId w:val="9"/>
  </w:num>
  <w:num w:numId="28" w16cid:durableId="834222824">
    <w:abstractNumId w:val="7"/>
  </w:num>
  <w:num w:numId="29" w16cid:durableId="935744480">
    <w:abstractNumId w:val="6"/>
  </w:num>
  <w:num w:numId="30" w16cid:durableId="941106632">
    <w:abstractNumId w:val="5"/>
  </w:num>
  <w:num w:numId="31" w16cid:durableId="908614167">
    <w:abstractNumId w:val="4"/>
  </w:num>
  <w:num w:numId="32" w16cid:durableId="1456563207">
    <w:abstractNumId w:val="8"/>
  </w:num>
  <w:num w:numId="33" w16cid:durableId="1078677918">
    <w:abstractNumId w:val="3"/>
  </w:num>
  <w:num w:numId="34" w16cid:durableId="21321718">
    <w:abstractNumId w:val="2"/>
  </w:num>
  <w:num w:numId="35" w16cid:durableId="2038850033">
    <w:abstractNumId w:val="1"/>
  </w:num>
  <w:num w:numId="36" w16cid:durableId="909920822">
    <w:abstractNumId w:val="0"/>
  </w:num>
  <w:num w:numId="37" w16cid:durableId="2089229555">
    <w:abstractNumId w:val="41"/>
  </w:num>
  <w:num w:numId="38" w16cid:durableId="2102800001">
    <w:abstractNumId w:val="19"/>
  </w:num>
  <w:num w:numId="39" w16cid:durableId="240212636">
    <w:abstractNumId w:val="34"/>
  </w:num>
  <w:num w:numId="40" w16cid:durableId="1438453060">
    <w:abstractNumId w:val="29"/>
  </w:num>
  <w:num w:numId="41" w16cid:durableId="193688303">
    <w:abstractNumId w:val="28"/>
  </w:num>
  <w:num w:numId="42" w16cid:durableId="1125349746">
    <w:abstractNumId w:val="35"/>
  </w:num>
  <w:num w:numId="43" w16cid:durableId="88354198">
    <w:abstractNumId w:val="17"/>
  </w:num>
  <w:num w:numId="44" w16cid:durableId="1486971036">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enforcement="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C70"/>
    <w:rsid w:val="00035FE9"/>
    <w:rsid w:val="00070094"/>
    <w:rsid w:val="00075DB9"/>
    <w:rsid w:val="00095212"/>
    <w:rsid w:val="000A5B9E"/>
    <w:rsid w:val="000B4333"/>
    <w:rsid w:val="000B4B82"/>
    <w:rsid w:val="00101AC1"/>
    <w:rsid w:val="00101C7B"/>
    <w:rsid w:val="00112803"/>
    <w:rsid w:val="00162370"/>
    <w:rsid w:val="001800E4"/>
    <w:rsid w:val="001E0F1A"/>
    <w:rsid w:val="00231463"/>
    <w:rsid w:val="002A19B7"/>
    <w:rsid w:val="003B473D"/>
    <w:rsid w:val="003F7DA5"/>
    <w:rsid w:val="0044433A"/>
    <w:rsid w:val="00485C8A"/>
    <w:rsid w:val="004B7C2E"/>
    <w:rsid w:val="004B7FCF"/>
    <w:rsid w:val="004C595B"/>
    <w:rsid w:val="004D0105"/>
    <w:rsid w:val="004F37B3"/>
    <w:rsid w:val="00571425"/>
    <w:rsid w:val="005A6A38"/>
    <w:rsid w:val="005B2B76"/>
    <w:rsid w:val="005C6E98"/>
    <w:rsid w:val="00602901"/>
    <w:rsid w:val="00614ACD"/>
    <w:rsid w:val="00625D7C"/>
    <w:rsid w:val="00626231"/>
    <w:rsid w:val="00636BAF"/>
    <w:rsid w:val="00641D1B"/>
    <w:rsid w:val="00641F83"/>
    <w:rsid w:val="00656C70"/>
    <w:rsid w:val="006644B5"/>
    <w:rsid w:val="006B251F"/>
    <w:rsid w:val="006B4A1A"/>
    <w:rsid w:val="00732598"/>
    <w:rsid w:val="00751F6B"/>
    <w:rsid w:val="007861A8"/>
    <w:rsid w:val="007B26E8"/>
    <w:rsid w:val="007C3796"/>
    <w:rsid w:val="0080093A"/>
    <w:rsid w:val="008034EC"/>
    <w:rsid w:val="00812F19"/>
    <w:rsid w:val="00865FC1"/>
    <w:rsid w:val="00871F81"/>
    <w:rsid w:val="008A74B5"/>
    <w:rsid w:val="008C1D7F"/>
    <w:rsid w:val="008D423D"/>
    <w:rsid w:val="008E571E"/>
    <w:rsid w:val="0094660C"/>
    <w:rsid w:val="00991AF7"/>
    <w:rsid w:val="009A74F3"/>
    <w:rsid w:val="009E6E81"/>
    <w:rsid w:val="009F0F7F"/>
    <w:rsid w:val="00A0213A"/>
    <w:rsid w:val="00A05B05"/>
    <w:rsid w:val="00A176FA"/>
    <w:rsid w:val="00A235A4"/>
    <w:rsid w:val="00A57C98"/>
    <w:rsid w:val="00AC7A31"/>
    <w:rsid w:val="00B00713"/>
    <w:rsid w:val="00B2602B"/>
    <w:rsid w:val="00B26D1C"/>
    <w:rsid w:val="00B35992"/>
    <w:rsid w:val="00B37AA0"/>
    <w:rsid w:val="00B45253"/>
    <w:rsid w:val="00B514B6"/>
    <w:rsid w:val="00B96A2C"/>
    <w:rsid w:val="00BC6D11"/>
    <w:rsid w:val="00BD1B90"/>
    <w:rsid w:val="00BF727A"/>
    <w:rsid w:val="00C2220F"/>
    <w:rsid w:val="00C558C9"/>
    <w:rsid w:val="00CE207A"/>
    <w:rsid w:val="00CE3730"/>
    <w:rsid w:val="00D73144"/>
    <w:rsid w:val="00DC7B94"/>
    <w:rsid w:val="00E32A10"/>
    <w:rsid w:val="00E36C85"/>
    <w:rsid w:val="00E633EC"/>
    <w:rsid w:val="00E74EEC"/>
    <w:rsid w:val="00F50FAF"/>
    <w:rsid w:val="00F51A22"/>
    <w:rsid w:val="00FC2C84"/>
    <w:rsid w:val="00FC32DD"/>
    <w:rsid w:val="00FF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DD772"/>
  <w15:docId w15:val="{D6616E1A-F039-4022-B5EE-3F062C9F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auto"/>
    </w:pPr>
    <w:rPr>
      <w:rFonts w:ascii="Arial" w:hAnsi="Arial"/>
      <w:sz w:val="20"/>
    </w:rPr>
  </w:style>
  <w:style w:type="paragraph" w:styleId="Heading1">
    <w:name w:val="heading 1"/>
    <w:basedOn w:val="Normal"/>
    <w:next w:val="Normal"/>
    <w:link w:val="Heading1Char1"/>
    <w:qFormat/>
    <w:pPr>
      <w:keepNext/>
      <w:spacing w:before="120"/>
      <w:jc w:val="center"/>
      <w:outlineLvl w:val="0"/>
    </w:pPr>
    <w:rPr>
      <w:rFonts w:eastAsiaTheme="majorEastAsia" w:cstheme="majorBidi"/>
      <w:b/>
      <w:bCs/>
      <w:caps/>
      <w:szCs w:val="32"/>
    </w:rPr>
  </w:style>
  <w:style w:type="paragraph" w:styleId="Heading2">
    <w:name w:val="heading 2"/>
    <w:basedOn w:val="Normal"/>
    <w:link w:val="Heading2Char"/>
    <w:unhideWhenUsed/>
    <w:qFormat/>
    <w:pPr>
      <w:keepNext/>
      <w:outlineLvl w:val="1"/>
    </w:pPr>
    <w:rPr>
      <w:rFonts w:eastAsiaTheme="majorEastAsia" w:cstheme="majorBidi"/>
      <w:bCs/>
      <w:iCs/>
      <w:szCs w:val="28"/>
      <w:u w:val="single"/>
    </w:rPr>
  </w:style>
  <w:style w:type="paragraph" w:styleId="Heading3">
    <w:name w:val="heading 3"/>
    <w:basedOn w:val="Normal"/>
    <w:link w:val="Heading3Char"/>
    <w:unhideWhenUsed/>
    <w:qFormat/>
    <w:pPr>
      <w:keepNext/>
      <w:outlineLvl w:val="2"/>
    </w:pPr>
    <w:rPr>
      <w:rFonts w:eastAsiaTheme="majorEastAsia" w:cstheme="majorBidi"/>
      <w:bCs/>
      <w:szCs w:val="26"/>
    </w:rPr>
  </w:style>
  <w:style w:type="paragraph" w:styleId="Heading4">
    <w:name w:val="heading 4"/>
    <w:basedOn w:val="Normal"/>
    <w:link w:val="Heading4Char1"/>
    <w:unhideWhenUsed/>
    <w:qFormat/>
    <w:pPr>
      <w:numPr>
        <w:ilvl w:val="3"/>
        <w:numId w:val="3"/>
      </w:numPr>
      <w:spacing w:after="240"/>
      <w:ind w:firstLine="0"/>
      <w:outlineLvl w:val="3"/>
    </w:pPr>
    <w:rPr>
      <w:rFonts w:eastAsiaTheme="minorEastAsia"/>
      <w:bCs/>
      <w:szCs w:val="28"/>
    </w:rPr>
  </w:style>
  <w:style w:type="paragraph" w:styleId="Heading5">
    <w:name w:val="heading 5"/>
    <w:basedOn w:val="Heading4"/>
    <w:link w:val="Heading5Char"/>
    <w:uiPriority w:val="9"/>
    <w:unhideWhenUsed/>
    <w:qFormat/>
    <w:pPr>
      <w:keepNext/>
      <w:keepLines/>
      <w:numPr>
        <w:ilvl w:val="0"/>
        <w:numId w:val="0"/>
      </w:numPr>
      <w:ind w:left="2880" w:hanging="360"/>
      <w:outlineLvl w:val="4"/>
    </w:pPr>
    <w:rPr>
      <w:rFonts w:eastAsiaTheme="majorEastAsia" w:cstheme="majorBidi"/>
    </w:rPr>
  </w:style>
  <w:style w:type="paragraph" w:styleId="Heading6">
    <w:name w:val="heading 6"/>
    <w:basedOn w:val="Normal"/>
    <w:next w:val="Normal"/>
    <w:link w:val="Heading6Char"/>
    <w:uiPriority w:val="9"/>
    <w:unhideWhenUsed/>
    <w:qFormat/>
    <w:pPr>
      <w:keepNext/>
      <w:keepLines/>
      <w:spacing w:before="200" w:after="0"/>
      <w:outlineLvl w:val="5"/>
    </w:pPr>
    <w:rPr>
      <w:rFonts w:ascii="Cambria" w:eastAsia="Times New Roman" w:hAnsi="Cambria" w:cs="Times New Roman"/>
      <w:iCs/>
      <w:szCs w:val="24"/>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Cambria" w:eastAsia="Times New Roman" w:hAnsi="Cambria" w:cs="Times New Roman"/>
      <w:i/>
      <w:iCs/>
      <w:color w:val="4040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BodyTextIndent">
    <w:name w:val="Body Text Indent"/>
    <w:basedOn w:val="Normal"/>
    <w:link w:val="BodyTextIndentChar"/>
    <w:pPr>
      <w:ind w:left="720" w:hanging="720"/>
    </w:pPr>
    <w:rPr>
      <w:sz w:val="19"/>
    </w:rPr>
  </w:style>
  <w:style w:type="paragraph" w:styleId="BalloonText">
    <w:name w:val="Balloon Text"/>
    <w:basedOn w:val="Normal"/>
    <w:link w:val="BalloonTextChar"/>
    <w:uiPriority w:val="99"/>
    <w:semiHidden/>
    <w:rPr>
      <w:rFonts w:ascii="Tahoma" w:hAnsi="Tahoma" w:cs="Tahoma"/>
      <w:sz w:val="16"/>
      <w:szCs w:val="16"/>
    </w:rPr>
  </w:style>
  <w:style w:type="paragraph" w:styleId="Header">
    <w:name w:val="header"/>
    <w:basedOn w:val="Normal"/>
    <w:link w:val="HeaderChar"/>
    <w:pPr>
      <w:tabs>
        <w:tab w:val="center" w:pos="4320"/>
        <w:tab w:val="right" w:pos="8640"/>
      </w:tabs>
    </w:pPr>
    <w:rPr>
      <w:rFonts w:ascii="Times New Roman" w:hAnsi="Times New Roman" w:cs="Times New Roman"/>
    </w:rPr>
  </w:style>
  <w:style w:type="paragraph" w:customStyle="1" w:styleId="Legal2">
    <w:name w:val="Legal 2"/>
    <w:basedOn w:val="Normal"/>
    <w:pPr>
      <w:widowControl w:val="0"/>
      <w:numPr>
        <w:ilvl w:val="1"/>
        <w:numId w:val="1"/>
      </w:numPr>
      <w:ind w:left="720" w:hanging="720"/>
      <w:outlineLvl w:val="1"/>
    </w:pPr>
    <w:rPr>
      <w:rFonts w:ascii="Helvetica" w:hAnsi="Helvetica" w:cs="Times New Roman"/>
      <w:snapToGrid w:val="0"/>
      <w:sz w:val="24"/>
    </w:rPr>
  </w:style>
  <w:style w:type="paragraph" w:customStyle="1" w:styleId="Legal3">
    <w:name w:val="Legal 3"/>
    <w:basedOn w:val="Normal"/>
    <w:pPr>
      <w:widowControl w:val="0"/>
      <w:numPr>
        <w:ilvl w:val="2"/>
        <w:numId w:val="1"/>
      </w:numPr>
      <w:ind w:left="1440" w:hanging="720"/>
      <w:outlineLvl w:val="2"/>
    </w:pPr>
    <w:rPr>
      <w:rFonts w:ascii="Helvetica" w:hAnsi="Helvetica" w:cs="Times New Roman"/>
      <w:snapToGrid w:val="0"/>
      <w:sz w:val="24"/>
    </w:rPr>
  </w:style>
  <w:style w:type="paragraph" w:customStyle="1" w:styleId="Legal4">
    <w:name w:val="Legal 4"/>
    <w:basedOn w:val="Normal"/>
    <w:pPr>
      <w:widowControl w:val="0"/>
      <w:numPr>
        <w:ilvl w:val="3"/>
        <w:numId w:val="1"/>
      </w:numPr>
      <w:ind w:left="2880" w:hanging="720"/>
      <w:outlineLvl w:val="3"/>
    </w:pPr>
    <w:rPr>
      <w:rFonts w:ascii="Helvetica" w:hAnsi="Helvetica" w:cs="Times New Roman"/>
      <w:snapToGrid w:val="0"/>
      <w:sz w:val="24"/>
    </w:rPr>
  </w:style>
  <w:style w:type="paragraph" w:customStyle="1" w:styleId="Legal5">
    <w:name w:val="Legal 5"/>
    <w:basedOn w:val="Normal"/>
    <w:pPr>
      <w:widowControl w:val="0"/>
      <w:numPr>
        <w:ilvl w:val="4"/>
        <w:numId w:val="1"/>
      </w:numPr>
      <w:ind w:left="3600" w:hanging="720"/>
      <w:outlineLvl w:val="4"/>
    </w:pPr>
    <w:rPr>
      <w:rFonts w:ascii="Helvetica" w:hAnsi="Helvetica" w:cs="Times New Roman"/>
      <w:snapToGrid w:val="0"/>
      <w:sz w:val="24"/>
    </w:rPr>
  </w:style>
  <w:style w:type="paragraph" w:customStyle="1" w:styleId="Legal6">
    <w:name w:val="Legal 6"/>
    <w:basedOn w:val="Normal"/>
    <w:pPr>
      <w:widowControl w:val="0"/>
      <w:numPr>
        <w:ilvl w:val="5"/>
        <w:numId w:val="1"/>
      </w:numPr>
      <w:ind w:left="5040" w:hanging="720"/>
      <w:outlineLvl w:val="5"/>
    </w:pPr>
    <w:rPr>
      <w:rFonts w:ascii="Helvetica" w:hAnsi="Helvetica" w:cs="Times New Roman"/>
      <w:snapToGrid w:val="0"/>
      <w:sz w:val="24"/>
    </w:rPr>
  </w:style>
  <w:style w:type="paragraph" w:styleId="Title">
    <w:name w:val="Title"/>
    <w:basedOn w:val="Normal"/>
    <w:next w:val="Normal"/>
    <w:link w:val="TitleChar"/>
    <w:uiPriority w:val="10"/>
    <w:qFormat/>
    <w:pPr>
      <w:pBdr>
        <w:bottom w:val="single" w:sz="8" w:space="4" w:color="auto"/>
      </w:pBdr>
      <w:spacing w:after="300"/>
      <w:contextualSpacing/>
    </w:pPr>
    <w:rPr>
      <w:rFonts w:eastAsiaTheme="majorEastAsia" w:cstheme="majorBidi"/>
      <w:spacing w:val="5"/>
      <w:kern w:val="28"/>
      <w:sz w:val="52"/>
      <w:szCs w:val="5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link w:val="CommentSubjectChar"/>
    <w:uiPriority w:val="99"/>
    <w:semiHidden/>
    <w:rPr>
      <w:b/>
      <w:bCs/>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documentbody">
    <w:name w:val="documentbody"/>
    <w:basedOn w:val="DefaultParagraphFont"/>
  </w:style>
  <w:style w:type="character" w:customStyle="1" w:styleId="nonproportionaltextfont">
    <w:name w:val="nonproportionaltextfont"/>
    <w:basedOn w:val="DefaultParagraphFont"/>
  </w:style>
  <w:style w:type="character" w:customStyle="1" w:styleId="searchterm">
    <w:name w:val="searchterm"/>
    <w:basedOn w:val="DefaultParagraphFont"/>
  </w:style>
  <w:style w:type="paragraph" w:customStyle="1" w:styleId="quoteIndent">
    <w:name w:val="quoteIndent"/>
    <w:basedOn w:val="NoSpacing"/>
    <w:link w:val="quoteIndentChar"/>
    <w:qFormat/>
    <w:pPr>
      <w:spacing w:after="240"/>
      <w:ind w:left="720" w:right="720"/>
    </w:pPr>
    <w:rPr>
      <w:rFonts w:cs="Times New Roman"/>
    </w:rPr>
  </w:style>
  <w:style w:type="character" w:customStyle="1" w:styleId="quoteIndentChar">
    <w:name w:val="quoteIndent Char"/>
    <w:basedOn w:val="DefaultParagraphFont"/>
    <w:link w:val="quoteIndent"/>
    <w:rPr>
      <w:rFonts w:ascii="Times New Roman" w:hAnsi="Times New Roman" w:cs="Times New Roman"/>
      <w:sz w:val="24"/>
      <w:szCs w:val="24"/>
    </w:rPr>
  </w:style>
  <w:style w:type="paragraph" w:styleId="NoSpacing">
    <w:name w:val="No Spacing"/>
    <w:link w:val="NoSpacingChar"/>
    <w:uiPriority w:val="1"/>
    <w:qFormat/>
    <w:pPr>
      <w:spacing w:after="0" w:line="240" w:lineRule="auto"/>
    </w:pPr>
    <w:rPr>
      <w:rFonts w:ascii="Arial" w:hAnsi="Arial"/>
      <w:sz w:val="20"/>
      <w:szCs w:val="24"/>
    </w:rPr>
  </w:style>
  <w:style w:type="paragraph" w:customStyle="1" w:styleId="headingCenterBold">
    <w:name w:val="headingCenterBold"/>
    <w:next w:val="Normal"/>
    <w:link w:val="headingCenterBoldChar"/>
    <w:qFormat/>
    <w:rsid w:val="00602901"/>
    <w:pPr>
      <w:keepNext/>
      <w:spacing w:after="240" w:line="240" w:lineRule="auto"/>
      <w:contextualSpacing/>
      <w:jc w:val="center"/>
    </w:pPr>
    <w:rPr>
      <w:rFonts w:ascii="Arial" w:hAnsi="Arial" w:cs="Times New Roman"/>
      <w:b/>
      <w:sz w:val="20"/>
      <w:szCs w:val="24"/>
    </w:rPr>
  </w:style>
  <w:style w:type="character" w:customStyle="1" w:styleId="headingCenterBoldChar">
    <w:name w:val="headingCenterBold Char"/>
    <w:basedOn w:val="DefaultParagraphFont"/>
    <w:link w:val="headingCenterBold"/>
    <w:rsid w:val="00602901"/>
    <w:rPr>
      <w:rFonts w:ascii="Arial" w:hAnsi="Arial" w:cs="Times New Roman"/>
      <w:b/>
      <w:sz w:val="20"/>
      <w:szCs w:val="24"/>
    </w:rPr>
  </w:style>
  <w:style w:type="paragraph" w:customStyle="1" w:styleId="footerText">
    <w:name w:val="footerText"/>
    <w:basedOn w:val="NoSpacing"/>
    <w:link w:val="footerTextChar"/>
    <w:qFormat/>
    <w:rPr>
      <w:rFonts w:cs="Times New Roman"/>
      <w:sz w:val="16"/>
    </w:rPr>
  </w:style>
  <w:style w:type="character" w:customStyle="1" w:styleId="footerTextChar">
    <w:name w:val="footerText Char"/>
    <w:basedOn w:val="NoSpacingChar"/>
    <w:link w:val="footerText"/>
    <w:rPr>
      <w:rFonts w:ascii="Arial" w:hAnsi="Arial" w:cs="Times New Roman"/>
      <w:sz w:val="16"/>
      <w:szCs w:val="24"/>
    </w:rPr>
  </w:style>
  <w:style w:type="paragraph" w:customStyle="1" w:styleId="numberList">
    <w:name w:val="numberList"/>
    <w:basedOn w:val="NoSpacing"/>
    <w:link w:val="numberListChar"/>
    <w:qFormat/>
    <w:pPr>
      <w:spacing w:after="240"/>
      <w:ind w:left="720" w:hanging="360"/>
    </w:pPr>
    <w:rPr>
      <w:rFonts w:cs="Times New Roman"/>
    </w:rPr>
  </w:style>
  <w:style w:type="character" w:customStyle="1" w:styleId="numberListChar">
    <w:name w:val="numberList Char"/>
    <w:basedOn w:val="NoSpacingChar"/>
    <w:link w:val="numberList"/>
    <w:rPr>
      <w:rFonts w:ascii="Arial" w:hAnsi="Arial" w:cs="Times New Roman"/>
      <w:sz w:val="20"/>
      <w:szCs w:val="24"/>
    </w:rPr>
  </w:style>
  <w:style w:type="paragraph" w:customStyle="1" w:styleId="flushText1">
    <w:name w:val="flushText1"/>
    <w:basedOn w:val="Normal"/>
    <w:link w:val="bodyText1Char"/>
    <w:qFormat/>
    <w:rPr>
      <w:szCs w:val="56"/>
    </w:rPr>
  </w:style>
  <w:style w:type="character" w:customStyle="1" w:styleId="bodyText1Char">
    <w:name w:val="bodyText1 Char"/>
    <w:basedOn w:val="DefaultParagraphFont"/>
    <w:link w:val="flushText1"/>
    <w:rPr>
      <w:rFonts w:ascii="Arial" w:hAnsi="Arial"/>
      <w:sz w:val="20"/>
      <w:szCs w:val="24"/>
    </w:rPr>
  </w:style>
  <w:style w:type="character" w:customStyle="1" w:styleId="BodyTextIndentChar">
    <w:name w:val="Body Text Indent Char"/>
    <w:basedOn w:val="DefaultParagraphFont"/>
    <w:link w:val="BodyTextIndent"/>
    <w:rPr>
      <w:rFonts w:ascii="Arial" w:hAnsi="Arial"/>
      <w:sz w:val="19"/>
    </w:rPr>
  </w:style>
  <w:style w:type="character" w:customStyle="1" w:styleId="flushText1Char">
    <w:name w:val="flushText1 Char"/>
    <w:basedOn w:val="bodyText1Char"/>
    <w:rPr>
      <w:rFonts w:ascii="Arial" w:hAnsi="Arial"/>
      <w:sz w:val="20"/>
      <w:szCs w:val="24"/>
    </w:rPr>
  </w:style>
  <w:style w:type="paragraph" w:customStyle="1" w:styleId="flushText2">
    <w:name w:val="flushText2"/>
    <w:basedOn w:val="Normal"/>
    <w:link w:val="flushText2Char"/>
    <w:qFormat/>
    <w:pPr>
      <w:spacing w:after="0" w:line="480" w:lineRule="auto"/>
    </w:pPr>
  </w:style>
  <w:style w:type="character" w:customStyle="1" w:styleId="flushText2Char">
    <w:name w:val="flushText2 Char"/>
    <w:basedOn w:val="flushText1Char"/>
    <w:link w:val="flushText2"/>
    <w:rPr>
      <w:rFonts w:ascii="Arial" w:hAnsi="Arial"/>
      <w:sz w:val="20"/>
      <w:szCs w:val="24"/>
    </w:rPr>
  </w:style>
  <w:style w:type="paragraph" w:customStyle="1" w:styleId="sectionTitle">
    <w:name w:val="sectionTitle"/>
    <w:basedOn w:val="Normal"/>
    <w:link w:val="sectionTitleChar"/>
    <w:qFormat/>
    <w:pPr>
      <w:keepNext/>
      <w:spacing w:before="120" w:after="240"/>
    </w:pPr>
    <w:rPr>
      <w:rFonts w:asciiTheme="minorHAnsi" w:hAnsiTheme="minorHAnsi"/>
      <w:b/>
      <w:sz w:val="22"/>
    </w:rPr>
  </w:style>
  <w:style w:type="character" w:customStyle="1" w:styleId="sectionTitleChar">
    <w:name w:val="sectionTitle Char"/>
    <w:basedOn w:val="DefaultParagraphFont"/>
    <w:link w:val="sectionTitle"/>
    <w:rPr>
      <w:b/>
    </w:rPr>
  </w:style>
  <w:style w:type="character" w:customStyle="1" w:styleId="Heading1Char">
    <w:name w:val="Heading 1 Char"/>
    <w:basedOn w:val="DefaultParagraphFont"/>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basedOn w:val="DefaultParagraphFont"/>
    <w:link w:val="Heading1"/>
    <w:rPr>
      <w:rFonts w:ascii="Arial" w:eastAsiaTheme="majorEastAsia" w:hAnsi="Arial" w:cstheme="majorBidi"/>
      <w:b/>
      <w:bCs/>
      <w:caps/>
      <w:sz w:val="20"/>
      <w:szCs w:val="32"/>
    </w:rPr>
  </w:style>
  <w:style w:type="character" w:customStyle="1" w:styleId="Heading2Char">
    <w:name w:val="Heading 2 Char"/>
    <w:basedOn w:val="DefaultParagraphFont"/>
    <w:link w:val="Heading2"/>
    <w:rPr>
      <w:rFonts w:ascii="Arial" w:eastAsiaTheme="majorEastAsia" w:hAnsi="Arial" w:cstheme="majorBidi"/>
      <w:bCs/>
      <w:iCs/>
      <w:sz w:val="20"/>
      <w:szCs w:val="28"/>
      <w:u w:val="single"/>
    </w:rPr>
  </w:style>
  <w:style w:type="character" w:customStyle="1" w:styleId="Heading3Char">
    <w:name w:val="Heading 3 Char"/>
    <w:basedOn w:val="DefaultParagraphFont"/>
    <w:link w:val="Heading3"/>
    <w:rPr>
      <w:rFonts w:ascii="Arial" w:eastAsiaTheme="majorEastAsia" w:hAnsi="Arial" w:cstheme="majorBidi"/>
      <w:bCs/>
      <w:sz w:val="20"/>
      <w:szCs w:val="26"/>
    </w:rPr>
  </w:style>
  <w:style w:type="character" w:customStyle="1" w:styleId="Heading4Char">
    <w:name w:val="Heading 4 Char"/>
    <w:basedOn w:val="DefaultParagraphFont"/>
    <w:uiPriority w:val="9"/>
    <w:semiHidden/>
    <w:rPr>
      <w:rFonts w:asciiTheme="majorHAnsi" w:eastAsiaTheme="majorEastAsia" w:hAnsiTheme="majorHAnsi" w:cstheme="majorBidi"/>
      <w:b/>
      <w:bCs/>
      <w:i/>
      <w:iCs/>
      <w:color w:val="4F81BD" w:themeColor="accent1"/>
      <w:sz w:val="24"/>
      <w:szCs w:val="24"/>
    </w:rPr>
  </w:style>
  <w:style w:type="character" w:customStyle="1" w:styleId="Heading4Char1">
    <w:name w:val="Heading 4 Char1"/>
    <w:basedOn w:val="DefaultParagraphFont"/>
    <w:link w:val="Heading4"/>
    <w:rPr>
      <w:rFonts w:ascii="Arial" w:eastAsiaTheme="minorEastAsia" w:hAnsi="Arial"/>
      <w:bCs/>
      <w:sz w:val="20"/>
      <w:szCs w:val="28"/>
    </w:rPr>
  </w:style>
  <w:style w:type="character" w:customStyle="1" w:styleId="Heading5Char">
    <w:name w:val="Heading 5 Char"/>
    <w:basedOn w:val="DefaultParagraphFont"/>
    <w:link w:val="Heading5"/>
    <w:uiPriority w:val="9"/>
    <w:rPr>
      <w:rFonts w:ascii="Times New Roman" w:eastAsiaTheme="majorEastAsia" w:hAnsi="Times New Roman" w:cstheme="majorBidi"/>
      <w:bCs/>
      <w:sz w:val="24"/>
      <w:szCs w:val="28"/>
    </w:rPr>
  </w:style>
  <w:style w:type="character" w:customStyle="1" w:styleId="TitleChar">
    <w:name w:val="Title Char"/>
    <w:basedOn w:val="DefaultParagraphFont"/>
    <w:link w:val="Title"/>
    <w:uiPriority w:val="10"/>
    <w:rPr>
      <w:rFonts w:ascii="Arial" w:eastAsiaTheme="majorEastAsia" w:hAnsi="Arial" w:cstheme="majorBidi"/>
      <w:spacing w:val="5"/>
      <w:kern w:val="28"/>
      <w:sz w:val="52"/>
      <w:szCs w:val="52"/>
    </w:rPr>
  </w:style>
  <w:style w:type="character" w:customStyle="1" w:styleId="NoSpacingChar">
    <w:name w:val="No Spacing Char"/>
    <w:basedOn w:val="DefaultParagraphFont"/>
    <w:link w:val="NoSpacing"/>
    <w:uiPriority w:val="1"/>
    <w:rPr>
      <w:rFonts w:ascii="Arial" w:hAnsi="Arial"/>
      <w:sz w:val="20"/>
      <w:szCs w:val="24"/>
    </w:rPr>
  </w:style>
  <w:style w:type="paragraph" w:customStyle="1" w:styleId="bodyText1">
    <w:name w:val="bodyText1"/>
    <w:basedOn w:val="flushText1"/>
    <w:qFormat/>
    <w:pPr>
      <w:ind w:firstLine="720"/>
    </w:pPr>
  </w:style>
  <w:style w:type="paragraph" w:customStyle="1" w:styleId="bodyText2">
    <w:name w:val="bodyText2"/>
    <w:basedOn w:val="bodyText1"/>
    <w:qFormat/>
    <w:pPr>
      <w:spacing w:after="0" w:line="480" w:lineRule="auto"/>
    </w:pPr>
  </w:style>
  <w:style w:type="paragraph" w:styleId="TOC1">
    <w:name w:val="toc 1"/>
    <w:basedOn w:val="Normal"/>
    <w:next w:val="Normal"/>
    <w:autoRedefine/>
    <w:uiPriority w:val="39"/>
    <w:pPr>
      <w:tabs>
        <w:tab w:val="right" w:leader="dot" w:pos="9350"/>
      </w:tabs>
      <w:spacing w:after="100"/>
    </w:pPr>
    <w:rPr>
      <w:b/>
      <w:noProof/>
    </w:rPr>
  </w:style>
  <w:style w:type="paragraph" w:styleId="TOC2">
    <w:name w:val="toc 2"/>
    <w:basedOn w:val="Normal"/>
    <w:next w:val="Normal"/>
    <w:autoRedefine/>
    <w:uiPriority w:val="39"/>
    <w:pPr>
      <w:tabs>
        <w:tab w:val="right" w:leader="dot" w:pos="9350"/>
      </w:tabs>
      <w:spacing w:after="100"/>
      <w:ind w:left="634" w:hanging="432"/>
    </w:pPr>
    <w:rPr>
      <w:rFonts w:eastAsiaTheme="majorEastAsia" w:cstheme="majorBidi"/>
      <w:b/>
      <w:bCs/>
      <w:iCs/>
      <w:noProof/>
    </w:rPr>
  </w:style>
  <w:style w:type="paragraph" w:styleId="TOC3">
    <w:name w:val="toc 3"/>
    <w:basedOn w:val="Normal"/>
    <w:next w:val="Normal"/>
    <w:autoRedefine/>
    <w:uiPriority w:val="39"/>
    <w:pPr>
      <w:spacing w:after="100"/>
      <w:ind w:left="400"/>
    </w:pPr>
  </w:style>
  <w:style w:type="paragraph" w:styleId="TOC4">
    <w:name w:val="toc 4"/>
    <w:basedOn w:val="Normal"/>
    <w:next w:val="Normal"/>
    <w:autoRedefine/>
    <w:uiPriority w:val="39"/>
    <w:pPr>
      <w:spacing w:after="100"/>
      <w:ind w:left="600"/>
    </w:pPr>
  </w:style>
  <w:style w:type="paragraph" w:styleId="TOC5">
    <w:name w:val="toc 5"/>
    <w:basedOn w:val="Normal"/>
    <w:next w:val="Normal"/>
    <w:autoRedefine/>
    <w:uiPriority w:val="39"/>
    <w:pPr>
      <w:spacing w:after="100"/>
      <w:ind w:left="800"/>
    </w:pPr>
  </w:style>
  <w:style w:type="paragraph" w:styleId="Revision">
    <w:name w:val="Revision"/>
    <w:hidden/>
    <w:uiPriority w:val="99"/>
    <w:semiHidden/>
    <w:pPr>
      <w:spacing w:after="0" w:line="240" w:lineRule="auto"/>
    </w:pPr>
    <w:rPr>
      <w:rFonts w:ascii="Arial" w:hAnsi="Arial"/>
      <w:sz w:val="20"/>
    </w:rPr>
  </w:style>
  <w:style w:type="paragraph" w:styleId="TOAHeading">
    <w:name w:val="toa heading"/>
    <w:basedOn w:val="Normal"/>
    <w:next w:val="Normal"/>
    <w:pPr>
      <w:spacing w:before="120"/>
    </w:pPr>
    <w:rPr>
      <w:rFonts w:eastAsiaTheme="majorEastAsia" w:cstheme="majorBidi"/>
      <w:b/>
      <w:bCs/>
      <w:sz w:val="24"/>
      <w:szCs w:val="24"/>
    </w:rPr>
  </w:style>
  <w:style w:type="paragraph" w:styleId="TOCHeading">
    <w:name w:val="TOC Heading"/>
    <w:basedOn w:val="Heading1"/>
    <w:next w:val="Normal"/>
    <w:uiPriority w:val="39"/>
    <w:unhideWhenUsed/>
    <w:qFormat/>
    <w:pPr>
      <w:keepLines/>
      <w:spacing w:before="480" w:after="240"/>
      <w:outlineLvl w:val="9"/>
    </w:pPr>
    <w:rPr>
      <w:caps w:val="0"/>
      <w:sz w:val="28"/>
      <w:szCs w:val="28"/>
    </w:rPr>
  </w:style>
  <w:style w:type="paragraph" w:styleId="ListParagraph">
    <w:name w:val="List Paragraph"/>
    <w:basedOn w:val="flushText1"/>
    <w:uiPriority w:val="34"/>
    <w:qFormat/>
  </w:style>
  <w:style w:type="character" w:customStyle="1" w:styleId="FooterChar">
    <w:name w:val="Footer Char"/>
    <w:basedOn w:val="DefaultParagraphFont"/>
    <w:link w:val="Footer"/>
    <w:uiPriority w:val="99"/>
    <w:rPr>
      <w:rFonts w:ascii="Arial" w:hAnsi="Arial"/>
      <w:sz w:val="20"/>
    </w:rPr>
  </w:style>
  <w:style w:type="paragraph" w:styleId="NormalIndent">
    <w:name w:val="Normal Indent"/>
    <w:basedOn w:val="Normal"/>
    <w:uiPriority w:val="99"/>
    <w:unhideWhenUsed/>
    <w:pPr>
      <w:spacing w:after="0" w:line="480" w:lineRule="auto"/>
      <w:ind w:left="720" w:firstLine="720"/>
      <w:jc w:val="both"/>
    </w:pPr>
    <w:rPr>
      <w:rFonts w:ascii="Times New Roman" w:hAnsi="Times New Roman"/>
      <w:sz w:val="24"/>
      <w:szCs w:val="24"/>
    </w:rPr>
  </w:style>
  <w:style w:type="character" w:customStyle="1" w:styleId="Heading2Char1">
    <w:name w:val="Heading 2 Char1"/>
    <w:basedOn w:val="DefaultParagraphFont"/>
    <w:rPr>
      <w:rFonts w:ascii="Times New Roman" w:eastAsiaTheme="majorEastAsia" w:hAnsi="Times New Roman" w:cstheme="majorBidi"/>
      <w:b/>
      <w:bCs/>
      <w:iCs/>
      <w:sz w:val="24"/>
      <w:szCs w:val="28"/>
    </w:rPr>
  </w:style>
  <w:style w:type="character" w:customStyle="1" w:styleId="Heading3Char1">
    <w:name w:val="Heading 3 Char1"/>
    <w:basedOn w:val="DefaultParagraphFont"/>
    <w:rPr>
      <w:rFonts w:ascii="Times New Roman" w:eastAsiaTheme="majorEastAsia" w:hAnsi="Times New Roman" w:cstheme="majorBidi"/>
      <w:b/>
      <w:bCs/>
      <w:sz w:val="24"/>
      <w:szCs w:val="26"/>
    </w:rPr>
  </w:style>
  <w:style w:type="character" w:styleId="BookTitle">
    <w:name w:val="Book Title"/>
    <w:basedOn w:val="DefaultParagraphFont"/>
    <w:uiPriority w:val="33"/>
    <w:rPr>
      <w:rFonts w:ascii="Times New Roman" w:hAnsi="Times New Roman"/>
      <w:b w:val="0"/>
      <w:bCs/>
      <w:i w:val="0"/>
      <w:caps w:val="0"/>
      <w:smallCaps/>
      <w:strike w:val="0"/>
      <w:dstrike w:val="0"/>
      <w:vanish w:val="0"/>
      <w:color w:val="auto"/>
      <w:spacing w:val="5"/>
      <w:sz w:val="24"/>
      <w:u w:val="none"/>
      <w:vertAlign w:val="baseline"/>
    </w:r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erChar">
    <w:name w:val="Header Char"/>
    <w:basedOn w:val="DefaultParagraphFont"/>
    <w:link w:val="Header"/>
    <w:rPr>
      <w:rFonts w:ascii="Times New Roman" w:hAnsi="Times New Roman" w:cs="Times New Roman"/>
      <w:sz w:val="20"/>
    </w:rPr>
  </w:style>
  <w:style w:type="character" w:customStyle="1" w:styleId="CommentTextChar">
    <w:name w:val="Comment Text Char"/>
    <w:basedOn w:val="DefaultParagraphFont"/>
    <w:link w:val="CommentText"/>
    <w:uiPriority w:val="99"/>
    <w:semiHidden/>
    <w:rPr>
      <w:rFonts w:ascii="Arial" w:hAnsi="Arial"/>
      <w:sz w:val="20"/>
    </w:rPr>
  </w:style>
  <w:style w:type="character" w:customStyle="1" w:styleId="CommentSubjectChar">
    <w:name w:val="Comment Subject Char"/>
    <w:basedOn w:val="CommentTextChar"/>
    <w:link w:val="CommentSubject"/>
    <w:uiPriority w:val="99"/>
    <w:semiHidden/>
    <w:rPr>
      <w:rFonts w:ascii="Arial" w:hAnsi="Arial"/>
      <w:b/>
      <w:bCs/>
      <w:sz w:val="2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LightShading-Accent1">
    <w:name w:val="Light Shading Accent 1"/>
    <w:basedOn w:val="TableNormal"/>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81">
    <w:name w:val="Table Grid 81"/>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
    <w:name w:val="Light Shading - Accent 11"/>
    <w:basedOn w:val="TableNormal"/>
    <w:next w:val="LightShading-Accent1"/>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1">
    <w:name w:val="Medium Shading 11"/>
    <w:basedOn w:val="TableNormal"/>
    <w:next w:val="MediumShading1"/>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
    <w:name w:val="Medium Shading 1 - Accent 11"/>
    <w:basedOn w:val="TableNormal"/>
    <w:next w:val="MediumShading1-Accent1"/>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pPr>
      <w:spacing w:after="100" w:line="276" w:lineRule="auto"/>
      <w:ind w:left="1760"/>
    </w:pPr>
    <w:rPr>
      <w:rFonts w:asciiTheme="minorHAnsi" w:eastAsiaTheme="minorEastAsia" w:hAnsiTheme="minorHAnsi"/>
      <w:sz w:val="22"/>
    </w:rPr>
  </w:style>
  <w:style w:type="table" w:customStyle="1" w:styleId="TableGrid2">
    <w:name w:val="Table Grid2"/>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 82"/>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2">
    <w:name w:val="Light Shading - Accent 12"/>
    <w:basedOn w:val="TableNormal"/>
    <w:next w:val="LightShading-Accent1"/>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2">
    <w:name w:val="Medium Shading 12"/>
    <w:basedOn w:val="TableNormal"/>
    <w:next w:val="MediumShading1"/>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811">
    <w:name w:val="Table Grid 811"/>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1">
    <w:name w:val="Light Shading - Accent 111"/>
    <w:basedOn w:val="TableNormal"/>
    <w:next w:val="LightShading-Accent1"/>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11">
    <w:name w:val="Medium Shading 111"/>
    <w:basedOn w:val="TableNormal"/>
    <w:next w:val="MediumShading1"/>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List1">
    <w:name w:val="Light List1"/>
    <w:basedOn w:val="TableNormal"/>
    <w:next w:val="LightList"/>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1">
    <w:name w:val="Medium Shading 1 - Accent 111"/>
    <w:basedOn w:val="TableNormal"/>
    <w:next w:val="MediumShading1-Accent1"/>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1">
    <w:name w:val="Table Grid1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
    <w:name w:val="Medium Shading 1 - Accent 13"/>
    <w:basedOn w:val="TableNormal"/>
    <w:next w:val="MediumShading1-Accent1"/>
    <w:uiPriority w:val="63"/>
    <w:pPr>
      <w:spacing w:after="0" w:line="240" w:lineRule="auto"/>
    </w:pPr>
    <w:rPr>
      <w:rFonts w:eastAsia="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2">
    <w:name w:val="Table Grid12"/>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Text1">
    <w:name w:val="Endnote Text1"/>
    <w:basedOn w:val="Normal"/>
    <w:next w:val="EndnoteText"/>
    <w:link w:val="EndnoteTextChar"/>
    <w:uiPriority w:val="99"/>
    <w:semiHidden/>
    <w:unhideWhenUsed/>
    <w:pPr>
      <w:spacing w:after="0"/>
      <w:ind w:firstLine="720"/>
      <w:jc w:val="both"/>
    </w:pPr>
    <w:rPr>
      <w:rFonts w:ascii="Times New Roman" w:hAnsi="Times New Roman"/>
      <w:szCs w:val="20"/>
    </w:rPr>
  </w:style>
  <w:style w:type="character" w:customStyle="1" w:styleId="EndnoteTextChar">
    <w:name w:val="Endnote Text Char"/>
    <w:basedOn w:val="DefaultParagraphFont"/>
    <w:link w:val="EndnoteText1"/>
    <w:uiPriority w:val="99"/>
    <w:semiHidden/>
    <w:rPr>
      <w:rFonts w:ascii="Times New Roman" w:hAnsi="Times New Roman"/>
      <w:sz w:val="20"/>
      <w:szCs w:val="20"/>
    </w:rPr>
  </w:style>
  <w:style w:type="character" w:styleId="EndnoteReference">
    <w:name w:val="endnote reference"/>
    <w:basedOn w:val="DefaultParagraphFont"/>
    <w:uiPriority w:val="99"/>
    <w:unhideWhenUsed/>
    <w:rPr>
      <w:vertAlign w:val="superscript"/>
    </w:rPr>
  </w:style>
  <w:style w:type="paragraph" w:styleId="EndnoteText">
    <w:name w:val="endnote text"/>
    <w:basedOn w:val="Normal"/>
    <w:link w:val="EndnoteTextChar1"/>
    <w:pPr>
      <w:spacing w:after="0"/>
    </w:pPr>
    <w:rPr>
      <w:szCs w:val="20"/>
    </w:rPr>
  </w:style>
  <w:style w:type="character" w:customStyle="1" w:styleId="EndnoteTextChar1">
    <w:name w:val="Endnote Text Char1"/>
    <w:basedOn w:val="DefaultParagraphFont"/>
    <w:link w:val="EndnoteText"/>
    <w:rPr>
      <w:rFonts w:ascii="Arial" w:hAnsi="Arial"/>
      <w:sz w:val="20"/>
      <w:szCs w:val="20"/>
    </w:rPr>
  </w:style>
  <w:style w:type="paragraph" w:styleId="FootnoteText">
    <w:name w:val="footnote text"/>
    <w:basedOn w:val="Normal"/>
    <w:link w:val="FootnoteTextChar"/>
    <w:uiPriority w:val="99"/>
    <w:unhideWhenUsed/>
    <w:qFormat/>
    <w:pPr>
      <w:spacing w:after="0"/>
    </w:pPr>
    <w:rPr>
      <w:rFonts w:asciiTheme="minorHAnsi" w:hAnsiTheme="minorHAnsi"/>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nhideWhenUsed/>
    <w:rPr>
      <w:vertAlign w:val="superscript"/>
    </w:r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1-Accent14">
    <w:name w:val="Medium Shading 1 - Accent 14"/>
    <w:basedOn w:val="TableNormal"/>
    <w:next w:val="MediumShading1-Accent1"/>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13">
    <w:name w:val="Medium Shading 13"/>
    <w:basedOn w:val="TableNormal"/>
    <w:next w:val="MediumShading1"/>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rPr>
      <w:rFonts w:ascii="Courier New" w:hAnsi="Courier New" w:cs="Courier New"/>
      <w:sz w:val="20"/>
    </w:rPr>
  </w:style>
  <w:style w:type="table" w:customStyle="1" w:styleId="TableGrid83">
    <w:name w:val="Table Grid 83"/>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3">
    <w:name w:val="Light Shading - Accent 13"/>
    <w:basedOn w:val="TableNormal"/>
    <w:next w:val="LightShading-Accent1"/>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4">
    <w:name w:val="Medium Shading 14"/>
    <w:basedOn w:val="TableNormal"/>
    <w:next w:val="MediumShading1"/>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5">
    <w:name w:val="Medium Shading 1 - Accent 15"/>
    <w:basedOn w:val="TableNormal"/>
    <w:next w:val="MediumShading1-Accent1"/>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812">
    <w:name w:val="Table Grid 812"/>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
    <w:name w:val="Light Shading - Accent 112"/>
    <w:basedOn w:val="TableNormal"/>
    <w:next w:val="LightShading-Accent1"/>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12">
    <w:name w:val="Medium Shading 112"/>
    <w:basedOn w:val="TableNormal"/>
    <w:next w:val="MediumShading1"/>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List2">
    <w:name w:val="Light List2"/>
    <w:basedOn w:val="TableNormal"/>
    <w:next w:val="LightList"/>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2">
    <w:name w:val="Medium Shading 1 - Accent 112"/>
    <w:basedOn w:val="TableNormal"/>
    <w:next w:val="MediumShading1-Accent1"/>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3">
    <w:name w:val="Table Grid13"/>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MediumShading1-Accent131">
    <w:name w:val="Medium Shading 1 - Accent 131"/>
    <w:basedOn w:val="TableNormal"/>
    <w:next w:val="MediumShading1-Accent1"/>
    <w:uiPriority w:val="63"/>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eading6Char">
    <w:name w:val="Heading 6 Char"/>
    <w:basedOn w:val="DefaultParagraphFont"/>
    <w:link w:val="Heading6"/>
    <w:uiPriority w:val="9"/>
    <w:rPr>
      <w:rFonts w:ascii="Cambria" w:eastAsia="Times New Roman" w:hAnsi="Cambria" w:cs="Times New Roman"/>
      <w:iCs/>
      <w:sz w:val="20"/>
      <w:szCs w:val="24"/>
    </w:rPr>
  </w:style>
  <w:style w:type="character" w:customStyle="1" w:styleId="Heading7Char">
    <w:name w:val="Heading 7 Char"/>
    <w:basedOn w:val="DefaultParagraphFont"/>
    <w:link w:val="Heading7"/>
    <w:uiPriority w:val="9"/>
    <w:semiHidden/>
    <w:rPr>
      <w:rFonts w:ascii="Cambria" w:eastAsia="Times New Roman" w:hAnsi="Cambria" w:cs="Times New Roman"/>
      <w:i/>
      <w:iCs/>
      <w:color w:val="404040"/>
      <w:sz w:val="20"/>
      <w:szCs w:val="24"/>
    </w:rPr>
  </w:style>
  <w:style w:type="paragraph" w:customStyle="1" w:styleId="Heading61">
    <w:name w:val="Heading 61"/>
    <w:basedOn w:val="Normal"/>
    <w:next w:val="Normal"/>
    <w:uiPriority w:val="9"/>
    <w:unhideWhenUsed/>
    <w:qFormat/>
    <w:pPr>
      <w:numPr>
        <w:ilvl w:val="5"/>
        <w:numId w:val="40"/>
      </w:numPr>
      <w:ind w:hanging="180"/>
      <w:outlineLvl w:val="5"/>
    </w:pPr>
    <w:rPr>
      <w:rFonts w:ascii="Cambria" w:eastAsia="Times New Roman" w:hAnsi="Cambria" w:cs="Times New Roman"/>
      <w:iCs/>
      <w:szCs w:val="24"/>
    </w:rPr>
  </w:style>
  <w:style w:type="paragraph" w:customStyle="1" w:styleId="Heading71">
    <w:name w:val="Heading 71"/>
    <w:basedOn w:val="Normal"/>
    <w:next w:val="Normal"/>
    <w:uiPriority w:val="9"/>
    <w:semiHidden/>
    <w:unhideWhenUsed/>
    <w:qFormat/>
    <w:pPr>
      <w:keepNext/>
      <w:keepLines/>
      <w:numPr>
        <w:ilvl w:val="6"/>
        <w:numId w:val="40"/>
      </w:numPr>
      <w:spacing w:before="200" w:after="0" w:line="480" w:lineRule="auto"/>
      <w:ind w:hanging="360"/>
      <w:outlineLvl w:val="6"/>
    </w:pPr>
    <w:rPr>
      <w:rFonts w:ascii="Cambria" w:eastAsia="Times New Roman" w:hAnsi="Cambria" w:cs="Times New Roman"/>
      <w:i/>
      <w:iCs/>
      <w:color w:val="404040"/>
      <w:szCs w:val="24"/>
    </w:rPr>
  </w:style>
  <w:style w:type="paragraph" w:customStyle="1" w:styleId="sectionHeading">
    <w:name w:val="sectionHeading"/>
    <w:basedOn w:val="Heading1"/>
    <w:next w:val="Normal"/>
    <w:link w:val="sectionHeadingChar"/>
    <w:qFormat/>
    <w:pPr>
      <w:spacing w:before="480" w:after="0" w:line="276" w:lineRule="auto"/>
      <w:contextualSpacing/>
      <w:jc w:val="left"/>
    </w:pPr>
    <w:rPr>
      <w:rFonts w:ascii="Cambria" w:hAnsi="Cambria"/>
      <w:caps w:val="0"/>
      <w:color w:val="365F91" w:themeColor="accent1" w:themeShade="BF"/>
      <w:sz w:val="28"/>
      <w:szCs w:val="28"/>
    </w:rPr>
  </w:style>
  <w:style w:type="character" w:customStyle="1" w:styleId="sectionHeadingChar">
    <w:name w:val="sectionHeading Char"/>
    <w:basedOn w:val="Heading1Char"/>
    <w:link w:val="sectionHeading"/>
    <w:rPr>
      <w:rFonts w:ascii="Cambria" w:eastAsiaTheme="majorEastAsia" w:hAnsi="Cambria" w:cstheme="majorBidi"/>
      <w:b/>
      <w:bCs/>
      <w:color w:val="365F91" w:themeColor="accent1" w:themeShade="BF"/>
      <w:sz w:val="28"/>
      <w:szCs w:val="28"/>
    </w:rPr>
  </w:style>
  <w:style w:type="numbering" w:customStyle="1" w:styleId="MerchantCardAgmtNos">
    <w:name w:val="MerchantCardAgmtNos"/>
    <w:uiPriority w:val="99"/>
    <w:pPr>
      <w:numPr>
        <w:numId w:val="38"/>
      </w:numPr>
    </w:pPr>
  </w:style>
  <w:style w:type="paragraph" w:customStyle="1" w:styleId="headingCentered">
    <w:name w:val="headingCentered"/>
    <w:basedOn w:val="Normal"/>
    <w:next w:val="Normal"/>
    <w:link w:val="headingCenteredChar"/>
    <w:qFormat/>
    <w:pPr>
      <w:keepNext/>
      <w:jc w:val="center"/>
    </w:pPr>
    <w:rPr>
      <w:rFonts w:ascii="Calibri" w:hAnsi="Calibri"/>
      <w:b/>
      <w:caps/>
      <w:u w:val="single"/>
    </w:rPr>
  </w:style>
  <w:style w:type="character" w:customStyle="1" w:styleId="headingCenteredChar">
    <w:name w:val="headingCentered Char"/>
    <w:basedOn w:val="DefaultParagraphFont"/>
    <w:link w:val="headingCentered"/>
    <w:rPr>
      <w:rFonts w:ascii="Calibri" w:hAnsi="Calibri"/>
      <w:b/>
      <w:caps/>
      <w:sz w:val="20"/>
      <w:u w:val="single"/>
    </w:rPr>
  </w:style>
  <w:style w:type="paragraph" w:customStyle="1" w:styleId="captionLeft">
    <w:name w:val="captionLeft"/>
    <w:basedOn w:val="BodyText"/>
    <w:pPr>
      <w:widowControl w:val="0"/>
      <w:spacing w:after="0"/>
    </w:pPr>
    <w:rPr>
      <w:rFonts w:ascii="Calibri" w:hAnsi="Calibri"/>
      <w:b/>
      <w:bCs/>
      <w:caps/>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ascii="Arial" w:hAnsi="Arial"/>
      <w:sz w:val="20"/>
    </w:rPr>
  </w:style>
  <w:style w:type="paragraph" w:customStyle="1" w:styleId="captionCentered">
    <w:name w:val="captionCentered"/>
    <w:basedOn w:val="captionLeft"/>
    <w:pPr>
      <w:jc w:val="center"/>
    </w:pPr>
  </w:style>
  <w:style w:type="paragraph" w:customStyle="1" w:styleId="Footnote">
    <w:name w:val="Footnote"/>
    <w:basedOn w:val="FootnoteText"/>
    <w:pPr>
      <w:spacing w:after="120"/>
    </w:pPr>
    <w:rPr>
      <w:rFonts w:ascii="Arial" w:hAnsi="Arial"/>
      <w:color w:val="000000"/>
      <w:szCs w:val="22"/>
    </w:rPr>
  </w:style>
  <w:style w:type="numbering" w:customStyle="1" w:styleId="FARList">
    <w:name w:val="FAR_List"/>
    <w:uiPriority w:val="99"/>
    <w:pPr>
      <w:numPr>
        <w:numId w:val="39"/>
      </w:numPr>
    </w:pPr>
  </w:style>
  <w:style w:type="paragraph" w:customStyle="1" w:styleId="footnoteQuote">
    <w:name w:val="footnoteQuote"/>
    <w:basedOn w:val="FootnoteText"/>
    <w:qFormat/>
    <w:pPr>
      <w:spacing w:after="120"/>
      <w:ind w:left="720" w:right="720"/>
    </w:pPr>
    <w:rPr>
      <w:rFonts w:ascii="Arial" w:hAnsi="Arial" w:cs="Times New Roman"/>
      <w:color w:val="000000"/>
    </w:rPr>
  </w:style>
  <w:style w:type="character" w:customStyle="1" w:styleId="FootnoteTextChar1">
    <w:name w:val="Footnote Text Char1"/>
    <w:basedOn w:val="DefaultParagraphFont"/>
    <w:uiPriority w:val="99"/>
    <w:rPr>
      <w:rFonts w:ascii="Times New Roman" w:hAnsi="Times New Roman"/>
      <w:color w:val="000000"/>
      <w:sz w:val="20"/>
    </w:rPr>
  </w:style>
  <w:style w:type="numbering" w:customStyle="1" w:styleId="MSBAList">
    <w:name w:val="MSBA_List"/>
    <w:uiPriority w:val="99"/>
    <w:pPr>
      <w:numPr>
        <w:numId w:val="42"/>
      </w:numPr>
    </w:pPr>
  </w:style>
  <w:style w:type="table" w:customStyle="1" w:styleId="TableGrid5">
    <w:name w:val="Table Grid5"/>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 84"/>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4">
    <w:name w:val="Light Shading - Accent 14"/>
    <w:basedOn w:val="TableNormal"/>
    <w:next w:val="LightShading-Accent1"/>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5">
    <w:name w:val="Medium Shading 15"/>
    <w:basedOn w:val="TableNormal"/>
    <w:next w:val="MediumShading1"/>
    <w:uiPriority w:val="63"/>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6">
    <w:name w:val="Medium Shading 1 - Accent 16"/>
    <w:basedOn w:val="TableNormal"/>
    <w:next w:val="MediumShading1-Accent1"/>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813">
    <w:name w:val="Table Grid 813"/>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3">
    <w:name w:val="Light Shading - Accent 113"/>
    <w:basedOn w:val="TableNormal"/>
    <w:next w:val="LightShading-Accent1"/>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3">
    <w:name w:val="Medium Shading 113"/>
    <w:basedOn w:val="TableNormal"/>
    <w:next w:val="MediumShading1"/>
    <w:uiPriority w:val="63"/>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3">
    <w:name w:val="Light List3"/>
    <w:basedOn w:val="TableNormal"/>
    <w:next w:val="LightList"/>
    <w:uiPriority w:val="6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3">
    <w:name w:val="Medium Shading 1 - Accent 113"/>
    <w:basedOn w:val="TableNormal"/>
    <w:next w:val="MediumShading1-Accent1"/>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 821"/>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21">
    <w:name w:val="Light Shading - Accent 121"/>
    <w:basedOn w:val="TableNormal"/>
    <w:next w:val="LightShading-Accent1"/>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21">
    <w:name w:val="Medium Shading 121"/>
    <w:basedOn w:val="TableNormal"/>
    <w:next w:val="MediumShading1"/>
    <w:uiPriority w:val="63"/>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8111">
    <w:name w:val="Table Grid 8111"/>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11">
    <w:name w:val="Light Shading - Accent 1111"/>
    <w:basedOn w:val="TableNormal"/>
    <w:next w:val="LightShading-Accent1"/>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11">
    <w:name w:val="Medium Shading 1111"/>
    <w:basedOn w:val="TableNormal"/>
    <w:next w:val="MediumShading1"/>
    <w:uiPriority w:val="63"/>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11">
    <w:name w:val="Light List11"/>
    <w:basedOn w:val="TableNormal"/>
    <w:next w:val="LightList"/>
    <w:uiPriority w:val="6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11">
    <w:name w:val="Medium Shading 1 - Accent 1111"/>
    <w:basedOn w:val="TableNormal"/>
    <w:next w:val="MediumShading1-Accent1"/>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141">
    <w:name w:val="Medium Shading 1 - Accent 141"/>
    <w:basedOn w:val="TableNormal"/>
    <w:next w:val="MediumShading1-Accent1"/>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1">
    <w:name w:val="Light Grid1"/>
    <w:basedOn w:val="TableNormal"/>
    <w:next w:val="LightGrid"/>
    <w:uiPriority w:val="6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31">
    <w:name w:val="Medium Shading 131"/>
    <w:basedOn w:val="TableNormal"/>
    <w:next w:val="MediumShading1"/>
    <w:uiPriority w:val="63"/>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41">
    <w:name w:val="Table Grid4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 831"/>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31">
    <w:name w:val="Light Shading - Accent 131"/>
    <w:basedOn w:val="TableNormal"/>
    <w:next w:val="LightShading-Accent1"/>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41">
    <w:name w:val="Medium Shading 141"/>
    <w:basedOn w:val="TableNormal"/>
    <w:next w:val="MediumShading1"/>
    <w:uiPriority w:val="63"/>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1">
    <w:name w:val="Medium Shading 1 - Accent 151"/>
    <w:basedOn w:val="TableNormal"/>
    <w:next w:val="MediumShading1-Accent1"/>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8121">
    <w:name w:val="Table Grid 8121"/>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1">
    <w:name w:val="Light Shading - Accent 1121"/>
    <w:basedOn w:val="TableNormal"/>
    <w:next w:val="LightShading-Accent1"/>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21">
    <w:name w:val="Medium Shading 1121"/>
    <w:basedOn w:val="TableNormal"/>
    <w:next w:val="MediumShading1"/>
    <w:uiPriority w:val="63"/>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1">
    <w:name w:val="Light List21"/>
    <w:basedOn w:val="TableNormal"/>
    <w:next w:val="LightList"/>
    <w:uiPriority w:val="6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21">
    <w:name w:val="Medium Shading 1 - Accent 1121"/>
    <w:basedOn w:val="TableNormal"/>
    <w:next w:val="MediumShading1-Accent1"/>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1">
    <w:name w:val="Heading 6 Char1"/>
    <w:basedOn w:val="DefaultParagraphFont"/>
    <w:uiPriority w:val="9"/>
    <w:semiHidden/>
    <w:rPr>
      <w:rFonts w:asciiTheme="majorHAnsi" w:eastAsiaTheme="majorEastAsia" w:hAnsiTheme="majorHAnsi" w:cstheme="majorBidi"/>
      <w:i/>
      <w:iCs/>
      <w:color w:val="243F60" w:themeColor="accent1" w:themeShade="7F"/>
      <w:sz w:val="20"/>
    </w:rPr>
  </w:style>
  <w:style w:type="character" w:customStyle="1" w:styleId="Heading7Char1">
    <w:name w:val="Heading 7 Char1"/>
    <w:basedOn w:val="DefaultParagraphFont"/>
    <w:uiPriority w:val="9"/>
    <w:semiHidden/>
    <w:rPr>
      <w:rFonts w:asciiTheme="majorHAnsi" w:eastAsiaTheme="majorEastAsia" w:hAnsiTheme="majorHAnsi" w:cstheme="majorBidi"/>
      <w:i/>
      <w:iCs/>
      <w:color w:val="404040" w:themeColor="text1" w:themeTint="BF"/>
      <w:sz w:val="20"/>
    </w:rPr>
  </w:style>
  <w:style w:type="paragraph" w:customStyle="1" w:styleId="TOC21">
    <w:name w:val="TOC 21"/>
    <w:basedOn w:val="Normal"/>
    <w:next w:val="Normal"/>
    <w:autoRedefine/>
    <w:uiPriority w:val="39"/>
    <w:pPr>
      <w:tabs>
        <w:tab w:val="right" w:leader="dot" w:pos="9350"/>
      </w:tabs>
      <w:spacing w:after="100"/>
      <w:ind w:left="634" w:hanging="432"/>
    </w:pPr>
    <w:rPr>
      <w:rFonts w:eastAsia="Times New Roman" w:cs="Times New Roman"/>
      <w:b/>
      <w:bCs/>
      <w:iCs/>
      <w:noProof/>
    </w:rPr>
  </w:style>
  <w:style w:type="paragraph" w:customStyle="1" w:styleId="TOAHeading1">
    <w:name w:val="TOA Heading1"/>
    <w:basedOn w:val="Normal"/>
    <w:next w:val="Normal"/>
    <w:pPr>
      <w:spacing w:before="120"/>
    </w:pPr>
    <w:rPr>
      <w:rFonts w:eastAsia="Times New Roman" w:cs="Times New Roman"/>
      <w:b/>
      <w:bCs/>
      <w:sz w:val="24"/>
      <w:szCs w:val="24"/>
    </w:rPr>
  </w:style>
  <w:style w:type="paragraph" w:customStyle="1" w:styleId="TOC61">
    <w:name w:val="TOC 61"/>
    <w:basedOn w:val="Normal"/>
    <w:next w:val="Normal"/>
    <w:autoRedefine/>
    <w:uiPriority w:val="39"/>
    <w:unhideWhenUsed/>
    <w:pPr>
      <w:spacing w:after="100" w:line="276" w:lineRule="auto"/>
      <w:ind w:left="1100"/>
    </w:pPr>
    <w:rPr>
      <w:rFonts w:ascii="Calibri" w:eastAsia="Times New Roman" w:hAnsi="Calibri" w:cs="Times New Roman"/>
      <w:sz w:val="22"/>
    </w:rPr>
  </w:style>
  <w:style w:type="paragraph" w:customStyle="1" w:styleId="TOC71">
    <w:name w:val="TOC 71"/>
    <w:basedOn w:val="Normal"/>
    <w:next w:val="Normal"/>
    <w:autoRedefine/>
    <w:uiPriority w:val="39"/>
    <w:unhideWhenUsed/>
    <w:pPr>
      <w:spacing w:after="100" w:line="276" w:lineRule="auto"/>
      <w:ind w:left="1320"/>
    </w:pPr>
    <w:rPr>
      <w:rFonts w:ascii="Calibri" w:eastAsia="Times New Roman" w:hAnsi="Calibri" w:cs="Times New Roman"/>
      <w:sz w:val="22"/>
    </w:rPr>
  </w:style>
  <w:style w:type="paragraph" w:customStyle="1" w:styleId="TOC81">
    <w:name w:val="TOC 81"/>
    <w:basedOn w:val="Normal"/>
    <w:next w:val="Normal"/>
    <w:autoRedefine/>
    <w:uiPriority w:val="39"/>
    <w:unhideWhenUsed/>
    <w:pPr>
      <w:spacing w:after="100" w:line="276" w:lineRule="auto"/>
      <w:ind w:left="1540"/>
    </w:pPr>
    <w:rPr>
      <w:rFonts w:ascii="Calibri" w:eastAsia="Times New Roman" w:hAnsi="Calibri" w:cs="Times New Roman"/>
      <w:sz w:val="22"/>
    </w:rPr>
  </w:style>
  <w:style w:type="paragraph" w:customStyle="1" w:styleId="TOC91">
    <w:name w:val="TOC 91"/>
    <w:basedOn w:val="Normal"/>
    <w:next w:val="Normal"/>
    <w:autoRedefine/>
    <w:uiPriority w:val="39"/>
    <w:unhideWhenUsed/>
    <w:pPr>
      <w:spacing w:after="100" w:line="276" w:lineRule="auto"/>
      <w:ind w:left="1760"/>
    </w:pPr>
    <w:rPr>
      <w:rFonts w:ascii="Calibri" w:eastAsia="Times New Roman" w:hAnsi="Calibri" w:cs="Times New Roman"/>
      <w:sz w:val="22"/>
    </w:rPr>
  </w:style>
  <w:style w:type="table" w:customStyle="1" w:styleId="TableGrid6">
    <w:name w:val="Table Grid6"/>
    <w:basedOn w:val="TableNormal"/>
    <w:next w:val="TableGri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 85"/>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4">
    <w:name w:val="Light Shading - Accent 114"/>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4">
    <w:name w:val="Medium Shading 114"/>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4">
    <w:name w:val="Medium Shading 1 - Accent 114"/>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814">
    <w:name w:val="Table Grid 814"/>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List12">
    <w:name w:val="Light List12"/>
    <w:basedOn w:val="TableNormal"/>
    <w:next w:val="LightList"/>
    <w:uiPriority w:val="6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5">
    <w:name w:val="Table Grid15"/>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 822"/>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22">
    <w:name w:val="Light Shading - Accent 122"/>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22">
    <w:name w:val="Medium Shading 122"/>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2">
    <w:name w:val="Medium Shading 1 - Accent 122"/>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8112">
    <w:name w:val="Table Grid 8112"/>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12">
    <w:name w:val="Light Shading - Accent 1112"/>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12">
    <w:name w:val="Medium Shading 1112"/>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2">
    <w:name w:val="Medium Shading 1 - Accent 1112"/>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2">
    <w:name w:val="Medium Shading 1 - Accent 132"/>
    <w:basedOn w:val="TableNormal"/>
    <w:next w:val="MediumShading1-Accent1"/>
    <w:uiPriority w:val="63"/>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next w:val="LightShading"/>
    <w:uiPriority w:val="60"/>
    <w:pPr>
      <w:spacing w:after="0" w:line="240" w:lineRule="auto"/>
    </w:pPr>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142">
    <w:name w:val="Medium Shading 1 - Accent 142"/>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11">
    <w:name w:val="Light Grid11"/>
    <w:basedOn w:val="TableNormal"/>
    <w:next w:val="LightGrid"/>
    <w:uiPriority w:val="62"/>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32">
    <w:name w:val="Medium Shading 132"/>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42">
    <w:name w:val="Table Grid42"/>
    <w:basedOn w:val="TableNormal"/>
    <w:next w:val="TableGri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 832"/>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32">
    <w:name w:val="Light Shading - Accent 132"/>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42">
    <w:name w:val="Medium Shading 142"/>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2">
    <w:name w:val="Medium Shading 1 - Accent 152"/>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8122">
    <w:name w:val="Table Grid 8122"/>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2">
    <w:name w:val="Light Shading - Accent 1122"/>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22">
    <w:name w:val="Medium Shading 1122"/>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2">
    <w:name w:val="Light List22"/>
    <w:basedOn w:val="TableNormal"/>
    <w:next w:val="LightList"/>
    <w:uiPriority w:val="6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22">
    <w:name w:val="Medium Shading 1 - Accent 1122"/>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 841"/>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41">
    <w:name w:val="Light Shading - Accent 141"/>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51">
    <w:name w:val="Medium Shading 15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61">
    <w:name w:val="Medium Shading 1 - Accent 16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8131">
    <w:name w:val="Table Grid 8131"/>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31">
    <w:name w:val="Light Shading - Accent 1131"/>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31">
    <w:name w:val="Medium Shading 113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31">
    <w:name w:val="Light List31"/>
    <w:basedOn w:val="TableNormal"/>
    <w:next w:val="LightList"/>
    <w:uiPriority w:val="6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31">
    <w:name w:val="Medium Shading 1 - Accent 113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 8211"/>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211">
    <w:name w:val="Light Shading - Accent 1211"/>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211">
    <w:name w:val="Medium Shading 121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11">
    <w:name w:val="Medium Shading 1 - Accent 121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81111">
    <w:name w:val="Table Grid 81111"/>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111">
    <w:name w:val="Light Shading - Accent 11111"/>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111">
    <w:name w:val="Medium Shading 1111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111">
    <w:name w:val="Light List111"/>
    <w:basedOn w:val="TableNormal"/>
    <w:next w:val="LightList"/>
    <w:uiPriority w:val="6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111">
    <w:name w:val="Medium Shading 1 - Accent 1111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11">
    <w:name w:val="Medium Shading 1 - Accent 1311"/>
    <w:basedOn w:val="TableNormal"/>
    <w:next w:val="MediumShading1-Accent1"/>
    <w:uiPriority w:val="63"/>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1">
    <w:name w:val="Table Grid121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11">
    <w:name w:val="Medium Shading 1 - Accent 141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311">
    <w:name w:val="Medium Shading 131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411">
    <w:name w:val="Table Grid411"/>
    <w:basedOn w:val="TableNormal"/>
    <w:next w:val="TableGri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 8311"/>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311">
    <w:name w:val="Light Shading - Accent 1311"/>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411">
    <w:name w:val="Medium Shading 141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11">
    <w:name w:val="Medium Shading 1 - Accent 151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81211">
    <w:name w:val="Table Grid 81211"/>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11">
    <w:name w:val="Light Shading - Accent 11211"/>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211">
    <w:name w:val="Medium Shading 1121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11">
    <w:name w:val="Light List211"/>
    <w:basedOn w:val="TableNormal"/>
    <w:next w:val="LightList"/>
    <w:uiPriority w:val="6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211">
    <w:name w:val="Medium Shading 1 - Accent 1121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1">
    <w:name w:val="Table Grid131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5">
    <w:name w:val="Light Shading - Accent 15"/>
    <w:basedOn w:val="TableNormal"/>
    <w:next w:val="LightShading-Accent1"/>
    <w:uiPriority w:val="60"/>
    <w:pPr>
      <w:spacing w:after="0" w:line="240" w:lineRule="auto"/>
    </w:pPr>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6">
    <w:name w:val="Medium Shading 16"/>
    <w:basedOn w:val="TableNormal"/>
    <w:next w:val="MediumShading1"/>
    <w:uiPriority w:val="63"/>
    <w:pPr>
      <w:spacing w:after="0" w:line="240" w:lineRule="auto"/>
    </w:pPr>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7">
    <w:name w:val="Medium Shading 1 - Accent 17"/>
    <w:basedOn w:val="TableNormal"/>
    <w:next w:val="MediumShading1-Accent1"/>
    <w:uiPriority w:val="63"/>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4">
    <w:name w:val="Light List4"/>
    <w:basedOn w:val="TableNormal"/>
    <w:next w:val="LightList"/>
    <w:uiPriority w:val="61"/>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2">
    <w:name w:val="Light Shading2"/>
    <w:basedOn w:val="TableNormal"/>
    <w:next w:val="LightShading"/>
    <w:uiPriority w:val="60"/>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2">
    <w:name w:val="Light Grid2"/>
    <w:basedOn w:val="TableNormal"/>
    <w:next w:val="LightGrid"/>
    <w:uiPriority w:val="62"/>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7">
    <w:name w:val="Table Grid7"/>
    <w:basedOn w:val="TableNormal"/>
    <w:next w:val="TableGrid"/>
    <w:uiPriority w:val="59"/>
    <w:rsid w:val="000700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5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2187">
      <w:bodyDiv w:val="1"/>
      <w:marLeft w:val="0"/>
      <w:marRight w:val="0"/>
      <w:marTop w:val="0"/>
      <w:marBottom w:val="0"/>
      <w:divBdr>
        <w:top w:val="none" w:sz="0" w:space="0" w:color="auto"/>
        <w:left w:val="none" w:sz="0" w:space="0" w:color="auto"/>
        <w:bottom w:val="none" w:sz="0" w:space="0" w:color="auto"/>
        <w:right w:val="none" w:sz="0" w:space="0" w:color="auto"/>
      </w:divBdr>
    </w:div>
    <w:div w:id="125205886">
      <w:bodyDiv w:val="1"/>
      <w:marLeft w:val="0"/>
      <w:marRight w:val="0"/>
      <w:marTop w:val="0"/>
      <w:marBottom w:val="0"/>
      <w:divBdr>
        <w:top w:val="none" w:sz="0" w:space="0" w:color="auto"/>
        <w:left w:val="none" w:sz="0" w:space="0" w:color="auto"/>
        <w:bottom w:val="none" w:sz="0" w:space="0" w:color="auto"/>
        <w:right w:val="none" w:sz="0" w:space="0" w:color="auto"/>
      </w:divBdr>
    </w:div>
    <w:div w:id="334651339">
      <w:bodyDiv w:val="1"/>
      <w:marLeft w:val="0"/>
      <w:marRight w:val="0"/>
      <w:marTop w:val="0"/>
      <w:marBottom w:val="0"/>
      <w:divBdr>
        <w:top w:val="none" w:sz="0" w:space="0" w:color="auto"/>
        <w:left w:val="none" w:sz="0" w:space="0" w:color="auto"/>
        <w:bottom w:val="none" w:sz="0" w:space="0" w:color="auto"/>
        <w:right w:val="none" w:sz="0" w:space="0" w:color="auto"/>
      </w:divBdr>
    </w:div>
    <w:div w:id="790441417">
      <w:bodyDiv w:val="1"/>
      <w:marLeft w:val="0"/>
      <w:marRight w:val="0"/>
      <w:marTop w:val="0"/>
      <w:marBottom w:val="0"/>
      <w:divBdr>
        <w:top w:val="none" w:sz="0" w:space="0" w:color="auto"/>
        <w:left w:val="none" w:sz="0" w:space="0" w:color="auto"/>
        <w:bottom w:val="none" w:sz="0" w:space="0" w:color="auto"/>
        <w:right w:val="none" w:sz="0" w:space="0" w:color="auto"/>
      </w:divBdr>
    </w:div>
    <w:div w:id="941111125">
      <w:bodyDiv w:val="1"/>
      <w:marLeft w:val="0"/>
      <w:marRight w:val="0"/>
      <w:marTop w:val="0"/>
      <w:marBottom w:val="0"/>
      <w:divBdr>
        <w:top w:val="none" w:sz="0" w:space="0" w:color="auto"/>
        <w:left w:val="none" w:sz="0" w:space="0" w:color="auto"/>
        <w:bottom w:val="none" w:sz="0" w:space="0" w:color="auto"/>
        <w:right w:val="none" w:sz="0" w:space="0" w:color="auto"/>
      </w:divBdr>
    </w:div>
    <w:div w:id="128819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s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ocurement.sc.gov" TargetMode="External"/><Relationship Id="rId4" Type="http://schemas.openxmlformats.org/officeDocument/2006/relationships/settings" Target="settings.xml"/><Relationship Id="rId9" Type="http://schemas.openxmlformats.org/officeDocument/2006/relationships/hyperlink" Target="http://procurement.s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30749-15E3-4CF1-A17B-70DA7293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SC Budget and Control Board</Company>
  <LinksUpToDate>false</LinksUpToDate>
  <CharactersWithSpaces>11768</CharactersWithSpaces>
  <SharedDoc>false</SharedDoc>
  <HLinks>
    <vt:vector size="12" baseType="variant">
      <vt:variant>
        <vt:i4>2293783</vt:i4>
      </vt:variant>
      <vt:variant>
        <vt:i4>3</vt:i4>
      </vt:variant>
      <vt:variant>
        <vt:i4>0</vt:i4>
      </vt:variant>
      <vt:variant>
        <vt:i4>5</vt:i4>
      </vt:variant>
      <vt:variant>
        <vt:lpwstr>mailto:compendium@mmo.state.sc.us</vt:lpwstr>
      </vt:variant>
      <vt:variant>
        <vt:lpwstr/>
      </vt:variant>
      <vt:variant>
        <vt:i4>2621548</vt:i4>
      </vt:variant>
      <vt:variant>
        <vt:i4>0</vt:i4>
      </vt:variant>
      <vt:variant>
        <vt:i4>0</vt:i4>
      </vt:variant>
      <vt:variant>
        <vt:i4>5</vt:i4>
      </vt:variant>
      <vt:variant>
        <vt:lpwstr>http://www.procurement.sc.gov/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Dixon Robertson III</dc:creator>
  <cp:lastModifiedBy>Robertson, Dixon</cp:lastModifiedBy>
  <cp:revision>4</cp:revision>
  <dcterms:created xsi:type="dcterms:W3CDTF">2023-06-30T18:33:00Z</dcterms:created>
  <dcterms:modified xsi:type="dcterms:W3CDTF">2023-10-04T14:35:00Z</dcterms:modified>
</cp:coreProperties>
</file>